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60" w:rsidRDefault="008431E3" w:rsidP="00662260">
      <w:pPr>
        <w:pStyle w:val="DocTitle"/>
      </w:pPr>
      <w:bookmarkStart w:id="0" w:name="_Toc331430101"/>
      <w:bookmarkStart w:id="1" w:name="_Toc334521582"/>
      <w:bookmarkStart w:id="2" w:name="_Toc334521757"/>
      <w:bookmarkStart w:id="3" w:name="_Toc334948643"/>
      <w:bookmarkStart w:id="4" w:name="_Toc335904119"/>
      <w:bookmarkStart w:id="5" w:name="_Toc254867226"/>
      <w:r>
        <w:t>Deep sea mining infographic</w:t>
      </w:r>
    </w:p>
    <w:p w:rsidR="00662260" w:rsidRDefault="008431E3" w:rsidP="00A717A6">
      <w:pPr>
        <w:pStyle w:val="Heading1"/>
      </w:pPr>
      <w:r>
        <w:t>Interactive text</w:t>
      </w:r>
    </w:p>
    <w:p w:rsidR="008431E3" w:rsidRDefault="008431E3" w:rsidP="00BB0136">
      <w:pPr>
        <w:pStyle w:val="Caption"/>
      </w:pPr>
      <w:r w:rsidRPr="00A04C12">
        <w:t xml:space="preserve">Table </w:t>
      </w:r>
      <w:fldSimple w:instr=" SEQ Table \* ARABIC ">
        <w:r>
          <w:rPr>
            <w:noProof/>
          </w:rPr>
          <w:t>1</w:t>
        </w:r>
      </w:fldSimple>
      <w:r w:rsidRPr="00A04C12">
        <w:t>:</w:t>
      </w:r>
      <w:r>
        <w:t xml:space="preserve"> Tiered interactive infographic text</w:t>
      </w:r>
    </w:p>
    <w:tbl>
      <w:tblPr>
        <w:tblStyle w:val="TableHRWallingford"/>
        <w:tblW w:w="21263" w:type="dxa"/>
        <w:tblInd w:w="108" w:type="dxa"/>
        <w:tblLayout w:type="fixed"/>
        <w:tblLook w:val="0420" w:firstRow="1" w:lastRow="0" w:firstColumn="0" w:lastColumn="0" w:noHBand="0" w:noVBand="1"/>
      </w:tblPr>
      <w:tblGrid>
        <w:gridCol w:w="1841"/>
        <w:gridCol w:w="3262"/>
        <w:gridCol w:w="2552"/>
        <w:gridCol w:w="6804"/>
        <w:gridCol w:w="6804"/>
      </w:tblGrid>
      <w:tr w:rsidR="00C0782D" w:rsidRPr="00F46C0E" w:rsidTr="00685C40">
        <w:trPr>
          <w:cnfStyle w:val="100000000000" w:firstRow="1" w:lastRow="0" w:firstColumn="0" w:lastColumn="0" w:oddVBand="0" w:evenVBand="0" w:oddHBand="0" w:evenHBand="0" w:firstRowFirstColumn="0" w:firstRowLastColumn="0" w:lastRowFirstColumn="0" w:lastRowLastColumn="0"/>
          <w:cantSplit w:val="0"/>
        </w:trPr>
        <w:tc>
          <w:tcPr>
            <w:tcW w:w="433" w:type="pct"/>
          </w:tcPr>
          <w:p w:rsidR="00C0782D" w:rsidRPr="00A0098A" w:rsidRDefault="00C0782D" w:rsidP="00BB0136">
            <w:pPr>
              <w:pStyle w:val="TableHeadingLeft"/>
              <w:rPr>
                <w:bCs/>
              </w:rPr>
            </w:pPr>
            <w:bookmarkStart w:id="6" w:name="BM_SelectTable" w:colFirst="0" w:colLast="0"/>
            <w:r>
              <w:rPr>
                <w:bCs/>
              </w:rPr>
              <w:t>Top Tier Aspect</w:t>
            </w:r>
          </w:p>
        </w:tc>
        <w:tc>
          <w:tcPr>
            <w:tcW w:w="767" w:type="pct"/>
          </w:tcPr>
          <w:p w:rsidR="00C0782D" w:rsidRPr="00F46C0E" w:rsidRDefault="00C0782D" w:rsidP="00F46C0E">
            <w:pPr>
              <w:pStyle w:val="TableHeadingLeft"/>
              <w:rPr>
                <w:bCs/>
              </w:rPr>
            </w:pPr>
            <w:r>
              <w:rPr>
                <w:bCs/>
              </w:rPr>
              <w:t xml:space="preserve">Descriptive </w:t>
            </w:r>
            <w:r w:rsidRPr="00F46C0E">
              <w:rPr>
                <w:bCs/>
              </w:rPr>
              <w:t>Text</w:t>
            </w:r>
          </w:p>
        </w:tc>
        <w:tc>
          <w:tcPr>
            <w:tcW w:w="600" w:type="pct"/>
          </w:tcPr>
          <w:p w:rsidR="00C0782D" w:rsidRPr="00A0098A" w:rsidRDefault="00C0782D" w:rsidP="006F13CD">
            <w:pPr>
              <w:pStyle w:val="TableHeadingLeft"/>
              <w:rPr>
                <w:bCs/>
              </w:rPr>
            </w:pPr>
            <w:r>
              <w:rPr>
                <w:bCs/>
              </w:rPr>
              <w:t>1</w:t>
            </w:r>
            <w:r w:rsidRPr="00F46C0E">
              <w:rPr>
                <w:bCs/>
              </w:rPr>
              <w:t>st</w:t>
            </w:r>
            <w:r>
              <w:rPr>
                <w:bCs/>
              </w:rPr>
              <w:t xml:space="preserve"> Tier Aspect</w:t>
            </w:r>
          </w:p>
        </w:tc>
        <w:tc>
          <w:tcPr>
            <w:tcW w:w="1600" w:type="pct"/>
          </w:tcPr>
          <w:p w:rsidR="00C0782D" w:rsidRPr="00F46C0E" w:rsidRDefault="00C0782D" w:rsidP="00BB0136">
            <w:pPr>
              <w:pStyle w:val="TableHeadingLeft"/>
              <w:rPr>
                <w:bCs/>
              </w:rPr>
            </w:pPr>
            <w:r>
              <w:rPr>
                <w:bCs/>
              </w:rPr>
              <w:t xml:space="preserve">Descriptive </w:t>
            </w:r>
            <w:r w:rsidRPr="00F46C0E">
              <w:rPr>
                <w:bCs/>
              </w:rPr>
              <w:t>Text</w:t>
            </w:r>
          </w:p>
        </w:tc>
        <w:tc>
          <w:tcPr>
            <w:tcW w:w="1600" w:type="pct"/>
          </w:tcPr>
          <w:p w:rsidR="00C0782D" w:rsidRDefault="00C0782D" w:rsidP="00BB0136">
            <w:pPr>
              <w:pStyle w:val="TableHeadingLeft"/>
              <w:rPr>
                <w:bCs/>
              </w:rPr>
            </w:pPr>
            <w:r>
              <w:rPr>
                <w:bCs/>
              </w:rPr>
              <w:t>Mitigation measures</w:t>
            </w:r>
          </w:p>
        </w:tc>
      </w:tr>
      <w:tr w:rsidR="00F31343" w:rsidRPr="00162D9E" w:rsidTr="00685C40">
        <w:trPr>
          <w:cnfStyle w:val="000000100000" w:firstRow="0" w:lastRow="0" w:firstColumn="0" w:lastColumn="0" w:oddVBand="0" w:evenVBand="0" w:oddHBand="1" w:evenHBand="0" w:firstRowFirstColumn="0" w:firstRowLastColumn="0" w:lastRowFirstColumn="0" w:lastRowLastColumn="0"/>
        </w:trPr>
        <w:tc>
          <w:tcPr>
            <w:tcW w:w="433" w:type="pct"/>
            <w:vMerge w:val="restart"/>
            <w:shd w:val="clear" w:color="auto" w:fill="auto"/>
          </w:tcPr>
          <w:p w:rsidR="00F31343" w:rsidRPr="00A717A6" w:rsidRDefault="00F31343" w:rsidP="00A717A6">
            <w:r>
              <w:t>Sound</w:t>
            </w:r>
          </w:p>
        </w:tc>
        <w:tc>
          <w:tcPr>
            <w:tcW w:w="767" w:type="pct"/>
            <w:vMerge w:val="restart"/>
            <w:shd w:val="clear" w:color="auto" w:fill="auto"/>
          </w:tcPr>
          <w:p w:rsidR="00F31343" w:rsidRPr="00A717A6" w:rsidRDefault="00F31343" w:rsidP="00A717A6">
            <w:r w:rsidRPr="00A717A6">
              <w:t xml:space="preserve">Deep sea mining (DSM) and associated vessel operations will generate </w:t>
            </w:r>
            <w:r>
              <w:t>sound</w:t>
            </w:r>
            <w:r w:rsidRPr="00A717A6">
              <w:t xml:space="preserve"> in two locations; </w:t>
            </w:r>
            <w:r>
              <w:t>sound</w:t>
            </w:r>
            <w:r w:rsidRPr="00A717A6">
              <w:t xml:space="preserve"> from the MSV and associated support vessels, and </w:t>
            </w:r>
            <w:r>
              <w:t>sound</w:t>
            </w:r>
            <w:r w:rsidRPr="00A717A6">
              <w:t xml:space="preserve"> from the seabed equipment.  </w:t>
            </w:r>
          </w:p>
          <w:p w:rsidR="00F31343" w:rsidRPr="00A717A6" w:rsidRDefault="00F31343" w:rsidP="00A717A6">
            <w:r w:rsidRPr="00A717A6">
              <w:t xml:space="preserve">The deep sea environment has recorded ambient </w:t>
            </w:r>
            <w:r>
              <w:t>sound</w:t>
            </w:r>
            <w:r w:rsidRPr="00A717A6">
              <w:t xml:space="preserve"> levels of </w:t>
            </w:r>
            <w:r>
              <w:t xml:space="preserve">typically </w:t>
            </w:r>
            <w:r w:rsidRPr="00A717A6">
              <w:t xml:space="preserve">less than 50dB in the 10 to 45 kHz range (Bashir et al., 2012).  </w:t>
            </w:r>
          </w:p>
          <w:p w:rsidR="00F31343" w:rsidRPr="00A717A6" w:rsidRDefault="00F31343" w:rsidP="00AB11D4">
            <w:r w:rsidRPr="00A717A6">
              <w:t xml:space="preserve">Deep diving whales and deep sea fish species are the organisms most likely </w:t>
            </w:r>
            <w:r>
              <w:t xml:space="preserve">to be </w:t>
            </w:r>
            <w:r w:rsidRPr="00A717A6">
              <w:t xml:space="preserve">affected by </w:t>
            </w:r>
            <w:r>
              <w:t>sound</w:t>
            </w:r>
            <w:r w:rsidRPr="00A717A6">
              <w:t xml:space="preserve"> produced by DSM operations</w:t>
            </w:r>
          </w:p>
        </w:tc>
        <w:tc>
          <w:tcPr>
            <w:tcW w:w="600" w:type="pct"/>
            <w:shd w:val="clear" w:color="auto" w:fill="auto"/>
          </w:tcPr>
          <w:p w:rsidR="00F31343" w:rsidRPr="00162D9E" w:rsidRDefault="00F31343" w:rsidP="006A7D9C">
            <w:pPr>
              <w:pStyle w:val="TableBullet1"/>
              <w:spacing w:before="120"/>
            </w:pPr>
            <w:r>
              <w:t>Behavioural changes</w:t>
            </w:r>
          </w:p>
        </w:tc>
        <w:tc>
          <w:tcPr>
            <w:tcW w:w="1600" w:type="pct"/>
            <w:shd w:val="clear" w:color="auto" w:fill="auto"/>
          </w:tcPr>
          <w:p w:rsidR="00F31343" w:rsidRPr="006F13CD" w:rsidRDefault="00F31343" w:rsidP="006F13CD">
            <w:r w:rsidRPr="006F13CD">
              <w:t xml:space="preserve">At levels insufficient to cause direct injuries to animals, the sound levels may cause behavioural disturbances.  Behavioural effects may result in animals being displaced from preferred foraging </w:t>
            </w:r>
            <w:r>
              <w:t xml:space="preserve">or breeding </w:t>
            </w:r>
            <w:r w:rsidRPr="006F13CD">
              <w:t>grounds to potentially less optimal areas, experiencing increased competition or greater energy costs associated with finding food. The effect may be a reduction in the individual's long-term fitness and survival.</w:t>
            </w:r>
          </w:p>
          <w:p w:rsidR="00F31343" w:rsidRDefault="00F31343" w:rsidP="006F13CD">
            <w:r w:rsidRPr="00A61EE4">
              <w:rPr>
                <w:u w:val="single"/>
              </w:rPr>
              <w:t>Cetaceans</w:t>
            </w:r>
            <w:r>
              <w:t>: In marine mammals, behavioural reactions that may occur include:</w:t>
            </w:r>
          </w:p>
          <w:p w:rsidR="00F31343" w:rsidRDefault="00F31343" w:rsidP="006F13CD">
            <w:pPr>
              <w:pStyle w:val="TableBullet1"/>
            </w:pPr>
            <w:r>
              <w:t xml:space="preserve">Orientation or attraction to a sound source, </w:t>
            </w:r>
          </w:p>
          <w:p w:rsidR="00F31343" w:rsidRDefault="00F31343" w:rsidP="006F13CD">
            <w:pPr>
              <w:pStyle w:val="TableBullet1"/>
            </w:pPr>
            <w:r>
              <w:t xml:space="preserve">Increased alertness, </w:t>
            </w:r>
          </w:p>
          <w:p w:rsidR="00F31343" w:rsidRDefault="00F31343" w:rsidP="006F13CD">
            <w:pPr>
              <w:pStyle w:val="TableBullet1"/>
            </w:pPr>
            <w:r>
              <w:t xml:space="preserve">Modification of characteristics of their own sounds, cessation of feeding or social interaction, </w:t>
            </w:r>
          </w:p>
          <w:p w:rsidR="00F31343" w:rsidRDefault="00F31343" w:rsidP="006F13CD">
            <w:pPr>
              <w:pStyle w:val="TableBullet1"/>
            </w:pPr>
            <w:r>
              <w:t xml:space="preserve">Alteration of movement / diving behaviour, </w:t>
            </w:r>
          </w:p>
          <w:p w:rsidR="00F31343" w:rsidRDefault="00F31343" w:rsidP="006F13CD">
            <w:pPr>
              <w:pStyle w:val="TableBullet1"/>
            </w:pPr>
            <w:r>
              <w:t xml:space="preserve">Temporary or permanent habitat abandonment and </w:t>
            </w:r>
          </w:p>
          <w:p w:rsidR="00F31343" w:rsidRDefault="00F31343" w:rsidP="006F13CD">
            <w:pPr>
              <w:pStyle w:val="TableBullet1"/>
            </w:pPr>
            <w:r>
              <w:t>In severe cases, panic, flight or stranding.</w:t>
            </w:r>
          </w:p>
          <w:p w:rsidR="00F31343" w:rsidRPr="006F13CD" w:rsidRDefault="00F31343" w:rsidP="00A61EE4">
            <w:r w:rsidRPr="00A61EE4">
              <w:rPr>
                <w:u w:val="single"/>
              </w:rPr>
              <w:t>Fish:</w:t>
            </w:r>
            <w:r w:rsidRPr="00A61EE4">
              <w:t xml:space="preserve"> I</w:t>
            </w:r>
            <w:r w:rsidRPr="006F13CD">
              <w:t xml:space="preserve">n fish, typical behavioural responses to underwater </w:t>
            </w:r>
            <w:r>
              <w:t>sound</w:t>
            </w:r>
            <w:r w:rsidRPr="006F13CD">
              <w:t xml:space="preserve"> include a startle response (Pearson et al. 1992; McCauley et al. 2000) or a change in the vertical distribution of individuals (</w:t>
            </w:r>
            <w:proofErr w:type="spellStart"/>
            <w:r w:rsidRPr="006F13CD">
              <w:t>Slotte</w:t>
            </w:r>
            <w:proofErr w:type="spellEnd"/>
            <w:r w:rsidRPr="006F13CD">
              <w:t xml:space="preserve"> et al., 2004).</w:t>
            </w:r>
          </w:p>
        </w:tc>
        <w:tc>
          <w:tcPr>
            <w:tcW w:w="1600" w:type="pct"/>
            <w:vMerge w:val="restart"/>
            <w:shd w:val="clear" w:color="auto" w:fill="auto"/>
          </w:tcPr>
          <w:p w:rsidR="00FA636B" w:rsidRDefault="00FA636B" w:rsidP="00FA636B">
            <w:r w:rsidRPr="00950F86">
              <w:rPr>
                <w:u w:val="single"/>
              </w:rPr>
              <w:t>Potential mitigation measures</w:t>
            </w:r>
            <w:r>
              <w:t xml:space="preserve"> </w:t>
            </w:r>
          </w:p>
          <w:p w:rsidR="00F31343" w:rsidRDefault="00F31343" w:rsidP="00685C40">
            <w:pPr>
              <w:pStyle w:val="Bullet1"/>
            </w:pPr>
            <w:r>
              <w:t>Conducting noise modelling to ascertain the distance of impacted by the noise;</w:t>
            </w:r>
          </w:p>
          <w:p w:rsidR="00F31343" w:rsidRDefault="00F31343" w:rsidP="00685C40">
            <w:pPr>
              <w:pStyle w:val="Bullet1"/>
            </w:pPr>
            <w:r>
              <w:t>Turning off all seabed equipment when not in use;</w:t>
            </w:r>
          </w:p>
          <w:p w:rsidR="00F31343" w:rsidRDefault="00F31343" w:rsidP="00685C40">
            <w:pPr>
              <w:pStyle w:val="Bullet1"/>
            </w:pPr>
            <w:r>
              <w:t>Incorporating acoustic dampening systems into seabed equipment during the design phase; and</w:t>
            </w:r>
          </w:p>
          <w:p w:rsidR="00F31343" w:rsidRDefault="00F31343" w:rsidP="00685C40">
            <w:pPr>
              <w:pStyle w:val="Bullet1"/>
            </w:pPr>
            <w:r>
              <w:t>Efficient planning of both mining operations and vessel movements to reduce the amount of noise generated during operations.</w:t>
            </w:r>
          </w:p>
          <w:p w:rsidR="00F31343" w:rsidRDefault="00F31343" w:rsidP="00F31343">
            <w:r>
              <w:t>However, it is anticipated that the vessel noise from the MSV and associated support vessels will be similar to the noise produced by existing commercial shipping traffic in the area.</w:t>
            </w:r>
          </w:p>
          <w:p w:rsidR="00F31343" w:rsidRPr="006F13CD" w:rsidRDefault="00F31343" w:rsidP="00F31343">
            <w:r>
              <w:t>However, it should be stressed that there is a lack of detailed knowledge on how deep sea fauna will react to increased underwater acoustic levels</w:t>
            </w:r>
          </w:p>
        </w:tc>
      </w:tr>
      <w:tr w:rsidR="00F31343" w:rsidRPr="00162D9E" w:rsidTr="00685C40">
        <w:trPr>
          <w:cnfStyle w:val="000000010000" w:firstRow="0" w:lastRow="0" w:firstColumn="0" w:lastColumn="0" w:oddVBand="0" w:evenVBand="0" w:oddHBand="0" w:evenHBand="1" w:firstRowFirstColumn="0" w:firstRowLastColumn="0" w:lastRowFirstColumn="0" w:lastRowLastColumn="0"/>
        </w:trPr>
        <w:tc>
          <w:tcPr>
            <w:tcW w:w="433" w:type="pct"/>
            <w:vMerge/>
            <w:shd w:val="clear" w:color="auto" w:fill="auto"/>
          </w:tcPr>
          <w:p w:rsidR="00F31343" w:rsidRPr="00162D9E" w:rsidRDefault="00F31343" w:rsidP="00BB0136">
            <w:pPr>
              <w:pStyle w:val="TableTextLeft"/>
            </w:pPr>
          </w:p>
        </w:tc>
        <w:tc>
          <w:tcPr>
            <w:tcW w:w="767" w:type="pct"/>
            <w:vMerge/>
            <w:shd w:val="clear" w:color="auto" w:fill="auto"/>
          </w:tcPr>
          <w:p w:rsidR="00F31343" w:rsidRPr="00F46C0E" w:rsidRDefault="00F31343" w:rsidP="00F46C0E"/>
        </w:tc>
        <w:tc>
          <w:tcPr>
            <w:tcW w:w="600" w:type="pct"/>
            <w:shd w:val="clear" w:color="auto" w:fill="auto"/>
          </w:tcPr>
          <w:p w:rsidR="00F31343" w:rsidRPr="00162D9E" w:rsidRDefault="00F31343" w:rsidP="006A7D9C">
            <w:pPr>
              <w:pStyle w:val="TableBullet1"/>
              <w:spacing w:before="120"/>
            </w:pPr>
            <w:r>
              <w:t>Auditory masking</w:t>
            </w:r>
          </w:p>
        </w:tc>
        <w:tc>
          <w:tcPr>
            <w:tcW w:w="1600" w:type="pct"/>
            <w:shd w:val="clear" w:color="auto" w:fill="auto"/>
          </w:tcPr>
          <w:p w:rsidR="00F31343" w:rsidRPr="006F13CD" w:rsidRDefault="00F31343" w:rsidP="006F13CD">
            <w:r w:rsidRPr="006F13CD">
              <w:t xml:space="preserve">If the frequency of anthropogenic </w:t>
            </w:r>
            <w:r>
              <w:t>sound</w:t>
            </w:r>
            <w:r w:rsidRPr="006F13CD">
              <w:t xml:space="preserve"> overlaps with the frequencies used by marine mammals, this may reduce the animal’s ability to detect important sounds for navigation, communication and prey detection (</w:t>
            </w:r>
            <w:proofErr w:type="spellStart"/>
            <w:r w:rsidRPr="006F13CD">
              <w:t>Weilgart</w:t>
            </w:r>
            <w:proofErr w:type="spellEnd"/>
            <w:r w:rsidRPr="006F13CD">
              <w:t>, 2007). This is termed acoustic masking, which may occur anywhere within an organism’s auditory range (Wright et al., 2007; Richardson et al., 1995). Masking of cetacean vocalisations will result in increasing information ambiguity and, in extreme circumstances, may culminate in cetaceans being unable to orientate themselves</w:t>
            </w:r>
            <w:r>
              <w:t>, communicate for reproduction</w:t>
            </w:r>
            <w:r w:rsidRPr="006F13CD">
              <w:t xml:space="preserve"> or hunt / evade predation in the marine environment (Wright et al., 2007).</w:t>
            </w:r>
          </w:p>
          <w:p w:rsidR="00F31343" w:rsidRPr="006F13CD" w:rsidRDefault="00F31343" w:rsidP="006F13CD">
            <w:r w:rsidRPr="006F13CD">
              <w:t xml:space="preserve">The hearing thresholds of marine mammals vary between species. Hearing sensitivity is based on both the frequency range of marine mammals and their threshold of hearing (i.e., the level of sound at which they perceive </w:t>
            </w:r>
            <w:r>
              <w:t>sound</w:t>
            </w:r>
            <w:r w:rsidRPr="006F13CD">
              <w:t>)..</w:t>
            </w:r>
          </w:p>
        </w:tc>
        <w:tc>
          <w:tcPr>
            <w:tcW w:w="1600" w:type="pct"/>
            <w:vMerge/>
            <w:shd w:val="clear" w:color="auto" w:fill="auto"/>
          </w:tcPr>
          <w:p w:rsidR="00F31343" w:rsidRPr="006F13CD" w:rsidRDefault="00F31343" w:rsidP="00F31343"/>
        </w:tc>
      </w:tr>
      <w:tr w:rsidR="00F31343" w:rsidRPr="00162D9E" w:rsidTr="00685C40">
        <w:trPr>
          <w:cnfStyle w:val="000000100000" w:firstRow="0" w:lastRow="0" w:firstColumn="0" w:lastColumn="0" w:oddVBand="0" w:evenVBand="0" w:oddHBand="1" w:evenHBand="0" w:firstRowFirstColumn="0" w:firstRowLastColumn="0" w:lastRowFirstColumn="0" w:lastRowLastColumn="0"/>
        </w:trPr>
        <w:tc>
          <w:tcPr>
            <w:tcW w:w="433" w:type="pct"/>
            <w:vMerge/>
            <w:shd w:val="clear" w:color="auto" w:fill="auto"/>
          </w:tcPr>
          <w:p w:rsidR="00F31343" w:rsidRPr="00162D9E" w:rsidRDefault="00F31343" w:rsidP="00BB0136">
            <w:pPr>
              <w:pStyle w:val="TableTextLeft"/>
            </w:pPr>
          </w:p>
        </w:tc>
        <w:tc>
          <w:tcPr>
            <w:tcW w:w="767" w:type="pct"/>
            <w:vMerge/>
            <w:shd w:val="clear" w:color="auto" w:fill="auto"/>
          </w:tcPr>
          <w:p w:rsidR="00F31343" w:rsidRPr="00F46C0E" w:rsidRDefault="00F31343" w:rsidP="00F46C0E"/>
        </w:tc>
        <w:tc>
          <w:tcPr>
            <w:tcW w:w="600" w:type="pct"/>
            <w:shd w:val="clear" w:color="auto" w:fill="auto"/>
          </w:tcPr>
          <w:p w:rsidR="00F31343" w:rsidRDefault="00F31343" w:rsidP="00AB11D4">
            <w:pPr>
              <w:pStyle w:val="TableBullet1"/>
            </w:pPr>
            <w:r w:rsidRPr="00AB11D4">
              <w:t>Temporary Threshold Shift (TTS)</w:t>
            </w:r>
          </w:p>
          <w:p w:rsidR="00F31343" w:rsidRPr="00162D9E" w:rsidRDefault="00F31343" w:rsidP="00AB11D4">
            <w:pPr>
              <w:pStyle w:val="TableBullet1"/>
            </w:pPr>
            <w:r w:rsidRPr="00AB11D4">
              <w:t xml:space="preserve"> Permanent Threshold Shift (PTS).</w:t>
            </w:r>
          </w:p>
        </w:tc>
        <w:tc>
          <w:tcPr>
            <w:tcW w:w="1600" w:type="pct"/>
            <w:shd w:val="clear" w:color="auto" w:fill="auto"/>
          </w:tcPr>
          <w:p w:rsidR="00F31343" w:rsidRPr="006F13CD" w:rsidRDefault="00F31343" w:rsidP="006F13CD">
            <w:r w:rsidRPr="006F13CD">
              <w:t>High exposure levels from underwater sound sources can cause hearing impairment. This can take the form of a temporary loss in hearing sensitivity, known as a Temporary Threshold Shift (TTS), or a permanent loss of hearing sensitivity known as a Permanent Threshold Shift (PTS).</w:t>
            </w:r>
          </w:p>
          <w:p w:rsidR="00F31343" w:rsidRPr="006F13CD" w:rsidRDefault="00F31343" w:rsidP="009136E3">
            <w:pPr>
              <w:pStyle w:val="TableTextLeft"/>
            </w:pPr>
            <w:r w:rsidRPr="006F13CD">
              <w:rPr>
                <w:u w:val="single"/>
              </w:rPr>
              <w:t>Cetaceans</w:t>
            </w:r>
            <w:r>
              <w:rPr>
                <w:u w:val="single"/>
              </w:rPr>
              <w:t xml:space="preserve">: </w:t>
            </w:r>
            <w:r w:rsidRPr="006F13CD">
              <w:t xml:space="preserve">The possibility of cetaceans being exposed to </w:t>
            </w:r>
            <w:r>
              <w:t>sound</w:t>
            </w:r>
            <w:r w:rsidRPr="006F13CD">
              <w:t xml:space="preserve"> levels is dependent on the source level and the number of cetaceans in the project area.</w:t>
            </w:r>
          </w:p>
          <w:p w:rsidR="00F31343" w:rsidRPr="00162D9E" w:rsidRDefault="00F31343" w:rsidP="00155515">
            <w:pPr>
              <w:pStyle w:val="TableTextLeft"/>
            </w:pPr>
            <w:r w:rsidRPr="006F13CD">
              <w:rPr>
                <w:u w:val="single"/>
              </w:rPr>
              <w:lastRenderedPageBreak/>
              <w:t>Fish</w:t>
            </w:r>
            <w:r>
              <w:rPr>
                <w:u w:val="single"/>
              </w:rPr>
              <w:t xml:space="preserve">: </w:t>
            </w:r>
            <w:r>
              <w:t>Sound</w:t>
            </w:r>
            <w:r w:rsidRPr="006F13CD">
              <w:t xml:space="preserve"> produced by the acoustic energy source could lead to possible eye damage and internal injuries</w:t>
            </w:r>
            <w:r>
              <w:t>.  Other potential impacts include the transient stunning of fish species.</w:t>
            </w:r>
          </w:p>
        </w:tc>
        <w:tc>
          <w:tcPr>
            <w:tcW w:w="1600" w:type="pct"/>
            <w:vMerge/>
            <w:shd w:val="clear" w:color="auto" w:fill="auto"/>
          </w:tcPr>
          <w:p w:rsidR="00F31343" w:rsidRPr="006F13CD" w:rsidRDefault="00F31343" w:rsidP="00F31343"/>
        </w:tc>
      </w:tr>
      <w:tr w:rsidR="00C0782D" w:rsidRPr="00162D9E" w:rsidTr="00685C40">
        <w:trPr>
          <w:cnfStyle w:val="000000010000" w:firstRow="0" w:lastRow="0" w:firstColumn="0" w:lastColumn="0" w:oddVBand="0" w:evenVBand="0" w:oddHBand="0" w:evenHBand="1" w:firstRowFirstColumn="0" w:firstRowLastColumn="0" w:lastRowFirstColumn="0" w:lastRowLastColumn="0"/>
        </w:trPr>
        <w:tc>
          <w:tcPr>
            <w:tcW w:w="433" w:type="pct"/>
            <w:shd w:val="clear" w:color="auto" w:fill="auto"/>
          </w:tcPr>
          <w:p w:rsidR="00C0782D" w:rsidRDefault="00C0782D" w:rsidP="00A717A6">
            <w:r>
              <w:lastRenderedPageBreak/>
              <w:t xml:space="preserve">Onshore </w:t>
            </w:r>
            <w:r w:rsidRPr="00A717A6">
              <w:t>impacts</w:t>
            </w:r>
          </w:p>
        </w:tc>
        <w:tc>
          <w:tcPr>
            <w:tcW w:w="767" w:type="pct"/>
            <w:shd w:val="clear" w:color="auto" w:fill="auto"/>
          </w:tcPr>
          <w:p w:rsidR="00C0782D" w:rsidRPr="00F46C0E" w:rsidRDefault="00C0782D" w:rsidP="00D55D16">
            <w:r>
              <w:t>Various types of s</w:t>
            </w:r>
            <w:r w:rsidRPr="00A61EE4">
              <w:t>olid and liquid wastes will be generated</w:t>
            </w:r>
            <w:r>
              <w:t xml:space="preserve"> by vessels</w:t>
            </w:r>
            <w:r w:rsidRPr="00A61EE4">
              <w:t xml:space="preserve"> during DSM operations.  </w:t>
            </w:r>
            <w:r>
              <w:t>Certain waste types will need to be stored on-board the vessels until they return to port and disposed of via a suitable waste management facility.</w:t>
            </w:r>
          </w:p>
        </w:tc>
        <w:tc>
          <w:tcPr>
            <w:tcW w:w="600" w:type="pct"/>
            <w:shd w:val="clear" w:color="auto" w:fill="auto"/>
          </w:tcPr>
          <w:p w:rsidR="00C0782D" w:rsidRDefault="00C0782D" w:rsidP="006A7D9C">
            <w:pPr>
              <w:pStyle w:val="TableBullet1"/>
              <w:spacing w:before="120"/>
            </w:pPr>
            <w:r>
              <w:t>Waste management</w:t>
            </w:r>
          </w:p>
        </w:tc>
        <w:tc>
          <w:tcPr>
            <w:tcW w:w="1600" w:type="pct"/>
            <w:shd w:val="clear" w:color="auto" w:fill="auto"/>
          </w:tcPr>
          <w:p w:rsidR="00C0782D" w:rsidRDefault="00C0782D" w:rsidP="006A7D9C">
            <w:r>
              <w:t>Waste</w:t>
            </w:r>
            <w:r w:rsidRPr="00A61EE4">
              <w:t xml:space="preserve"> </w:t>
            </w:r>
            <w:r w:rsidRPr="006A7D9C">
              <w:t>may</w:t>
            </w:r>
            <w:r w:rsidRPr="00A61EE4">
              <w:t xml:space="preserve"> be either hazardous or non-hazardous waste, and will require </w:t>
            </w:r>
            <w:r w:rsidR="00360DC5">
              <w:t xml:space="preserve">appropriate </w:t>
            </w:r>
            <w:r w:rsidRPr="00A61EE4">
              <w:t>processing and disposal.  The effects of disposal of controlled (non-hazardous wastes) associated with onshore disposal are dependent on the nature of the site or process</w:t>
            </w:r>
          </w:p>
          <w:p w:rsidR="00C0782D" w:rsidRDefault="00C0782D" w:rsidP="00A61EE4">
            <w:pPr>
              <w:rPr>
                <w:rFonts w:cs="Calibri"/>
              </w:rPr>
            </w:pPr>
            <w:r>
              <w:rPr>
                <w:rFonts w:cs="Calibri"/>
              </w:rPr>
              <w:t>Utilising onshore resources for waste disposal may have the following impacts:</w:t>
            </w:r>
          </w:p>
          <w:p w:rsidR="00C0782D" w:rsidRDefault="00C0782D" w:rsidP="00A61EE4">
            <w:pPr>
              <w:pStyle w:val="TableBullet1"/>
            </w:pPr>
            <w:r>
              <w:t xml:space="preserve">The disposal of hazardous waste at a landfill site </w:t>
            </w:r>
            <w:r w:rsidRPr="00E028A9">
              <w:t xml:space="preserve">may </w:t>
            </w:r>
            <w:r>
              <w:t xml:space="preserve">introduce </w:t>
            </w:r>
            <w:r w:rsidRPr="00E028A9">
              <w:t>limitations on future land use</w:t>
            </w:r>
            <w:r>
              <w:t xml:space="preserve"> due to contamination issues</w:t>
            </w:r>
          </w:p>
          <w:p w:rsidR="00C0782D" w:rsidRPr="00162D9E" w:rsidRDefault="00C0782D" w:rsidP="00A61EE4">
            <w:pPr>
              <w:pStyle w:val="TableBullet1"/>
            </w:pPr>
            <w:r>
              <w:t xml:space="preserve">There is the </w:t>
            </w:r>
            <w:r w:rsidRPr="00E028A9">
              <w:t>potential for land</w:t>
            </w:r>
            <w:r>
              <w:t>, water</w:t>
            </w:r>
            <w:r w:rsidRPr="00E028A9">
              <w:t xml:space="preserve"> and air contamination</w:t>
            </w:r>
            <w:r>
              <w:t xml:space="preserve"> from the various chemicals and materials disposed of.</w:t>
            </w:r>
          </w:p>
        </w:tc>
        <w:tc>
          <w:tcPr>
            <w:tcW w:w="1600" w:type="pct"/>
            <w:shd w:val="clear" w:color="auto" w:fill="auto"/>
          </w:tcPr>
          <w:p w:rsidR="00FA636B" w:rsidRDefault="00FA636B" w:rsidP="00FA636B">
            <w:r w:rsidRPr="00950F86">
              <w:rPr>
                <w:u w:val="single"/>
              </w:rPr>
              <w:t>Potential mitigation measures</w:t>
            </w:r>
            <w:r>
              <w:t xml:space="preserve"> </w:t>
            </w:r>
          </w:p>
          <w:p w:rsidR="0028506B" w:rsidRDefault="0028506B" w:rsidP="0028506B">
            <w:r w:rsidRPr="00E028A9">
              <w:t xml:space="preserve">The use of landfill for disposal of </w:t>
            </w:r>
            <w:r>
              <w:t xml:space="preserve">mining </w:t>
            </w:r>
            <w:r w:rsidRPr="00E028A9">
              <w:t xml:space="preserve">wastes </w:t>
            </w:r>
            <w:r>
              <w:t>is undesirable and, where possible, steps should be taken to reduce, recycle and reuse waste generated during a DSM project.</w:t>
            </w:r>
          </w:p>
          <w:p w:rsidR="0028506B" w:rsidRDefault="0028506B" w:rsidP="00685C40">
            <w:pPr>
              <w:pStyle w:val="Bullet1"/>
            </w:pPr>
            <w:r>
              <w:t>To mitigate this, a DSM operator should establish a Waste Management Plan (WMP) for the proposed drilling operations that encompasses the MSV, support vessels and onshore operations.  The WMP will cover the storage, transport and treatment of waste generated on the project. The plan would also contain a hierarchy that considers the prevention, reduction, reuse, recovery, recycling, removal and disposal of waste.</w:t>
            </w:r>
          </w:p>
          <w:p w:rsidR="0028506B" w:rsidRDefault="0028506B" w:rsidP="00685C40">
            <w:pPr>
              <w:pStyle w:val="Bullet1"/>
            </w:pPr>
            <w:r>
              <w:t xml:space="preserve">All hazardous wastes shall be sent to a company registered with the licence holder government for treatment and disposal, hence posing a minimal risk of impacting the environment.  </w:t>
            </w:r>
          </w:p>
          <w:p w:rsidR="00C0782D" w:rsidRDefault="0028506B" w:rsidP="00685C40">
            <w:pPr>
              <w:pStyle w:val="Bullet1"/>
            </w:pPr>
            <w:r>
              <w:t xml:space="preserve">Incineration of waste permitted under the MARPOL (Annex V) will be conducted on board of the MSV as per MARPOL requirements.  However this excludes the incineration of any hazardous waste or heavy metals).  </w:t>
            </w:r>
          </w:p>
        </w:tc>
      </w:tr>
      <w:bookmarkEnd w:id="6"/>
      <w:tr w:rsidR="00777E59" w:rsidRPr="00162D9E" w:rsidTr="00777E59">
        <w:trPr>
          <w:cnfStyle w:val="000000100000" w:firstRow="0" w:lastRow="0" w:firstColumn="0" w:lastColumn="0" w:oddVBand="0" w:evenVBand="0" w:oddHBand="1" w:evenHBand="0" w:firstRowFirstColumn="0" w:firstRowLastColumn="0" w:lastRowFirstColumn="0" w:lastRowLastColumn="0"/>
        </w:trPr>
        <w:tc>
          <w:tcPr>
            <w:tcW w:w="433" w:type="pct"/>
            <w:vMerge w:val="restart"/>
            <w:shd w:val="clear" w:color="auto" w:fill="auto"/>
          </w:tcPr>
          <w:p w:rsidR="00777E59" w:rsidRPr="00A717A6" w:rsidRDefault="00773B9E" w:rsidP="00A717A6">
            <w:r>
              <w:t>Routine</w:t>
            </w:r>
            <w:r w:rsidRPr="00A717A6">
              <w:t xml:space="preserve"> </w:t>
            </w:r>
            <w:r w:rsidR="00777E59" w:rsidRPr="00A717A6">
              <w:t>marine discharges</w:t>
            </w:r>
          </w:p>
        </w:tc>
        <w:tc>
          <w:tcPr>
            <w:tcW w:w="767" w:type="pct"/>
            <w:vMerge w:val="restart"/>
            <w:shd w:val="clear" w:color="auto" w:fill="auto"/>
          </w:tcPr>
          <w:p w:rsidR="00777E59" w:rsidRDefault="00777E59" w:rsidP="00A717A6">
            <w:r>
              <w:t>The MSV and associated vessels will generate waste st</w:t>
            </w:r>
            <w:r w:rsidR="005E6B12">
              <w:t>r</w:t>
            </w:r>
            <w:r>
              <w:t xml:space="preserve">eams such as sanitary waste, drainage water from the MSV and support vessels, food waste, process water with </w:t>
            </w:r>
            <w:r w:rsidRPr="0028506B">
              <w:t>sediment</w:t>
            </w:r>
            <w:r>
              <w:t xml:space="preserve"> (i.e. dewatering discharges), ballast water and </w:t>
            </w:r>
            <w:r w:rsidRPr="0028506B">
              <w:t>other effluents</w:t>
            </w:r>
            <w:r>
              <w:t xml:space="preserve">.  Some of these streams may be discharged to sea, if permitted by national and international legislation. </w:t>
            </w:r>
          </w:p>
        </w:tc>
        <w:tc>
          <w:tcPr>
            <w:tcW w:w="600" w:type="pct"/>
            <w:vMerge w:val="restart"/>
            <w:shd w:val="clear" w:color="auto" w:fill="auto"/>
          </w:tcPr>
          <w:p w:rsidR="00777E59" w:rsidRDefault="00777E59" w:rsidP="00BB0136">
            <w:pPr>
              <w:pStyle w:val="TableBullet1"/>
              <w:spacing w:before="120"/>
            </w:pPr>
            <w:r>
              <w:t>Sanitary waste</w:t>
            </w:r>
          </w:p>
          <w:p w:rsidR="00777E59" w:rsidRDefault="00777E59" w:rsidP="00BB0136">
            <w:pPr>
              <w:pStyle w:val="TableBullet1"/>
              <w:spacing w:before="120"/>
            </w:pPr>
            <w:r>
              <w:t>Drainage / deck water</w:t>
            </w:r>
          </w:p>
          <w:p w:rsidR="00777E59" w:rsidRDefault="00777E59" w:rsidP="00BB0136">
            <w:pPr>
              <w:pStyle w:val="TableBullet1"/>
              <w:spacing w:before="120"/>
            </w:pPr>
            <w:r>
              <w:t>Dewatering fluid</w:t>
            </w:r>
          </w:p>
          <w:p w:rsidR="00777E59" w:rsidRDefault="00777E59" w:rsidP="00BB0136">
            <w:pPr>
              <w:pStyle w:val="TableBullet1"/>
              <w:spacing w:before="120"/>
            </w:pPr>
            <w:r>
              <w:t>Food waste</w:t>
            </w:r>
          </w:p>
          <w:p w:rsidR="00777E59" w:rsidRDefault="00777E59" w:rsidP="006A7D9C">
            <w:pPr>
              <w:pStyle w:val="TableBullet1"/>
              <w:spacing w:before="120"/>
            </w:pPr>
            <w:r>
              <w:t>Ballast water</w:t>
            </w:r>
          </w:p>
        </w:tc>
        <w:tc>
          <w:tcPr>
            <w:tcW w:w="1600" w:type="pct"/>
            <w:shd w:val="clear" w:color="auto" w:fill="auto"/>
          </w:tcPr>
          <w:p w:rsidR="00777E59" w:rsidRDefault="00777E59" w:rsidP="00777E59">
            <w:r>
              <w:t xml:space="preserve">Sanitary wastes include all black (sewage) and grey (showers and washing facilities) water. As well as human waste, grey and black water will contain detergents and cleaning agents from toilets and showers.  </w:t>
            </w:r>
          </w:p>
          <w:p w:rsidR="00777E59" w:rsidRPr="006A7D9C" w:rsidRDefault="00777E59" w:rsidP="008C3872"/>
        </w:tc>
        <w:tc>
          <w:tcPr>
            <w:tcW w:w="1600" w:type="pct"/>
            <w:shd w:val="clear" w:color="auto" w:fill="auto"/>
          </w:tcPr>
          <w:p w:rsidR="00FA636B" w:rsidRDefault="00FA636B" w:rsidP="00FA636B">
            <w:r w:rsidRPr="00950F86">
              <w:rPr>
                <w:u w:val="single"/>
              </w:rPr>
              <w:t>Potential mitigation measures</w:t>
            </w:r>
            <w:r>
              <w:t xml:space="preserve"> </w:t>
            </w:r>
          </w:p>
          <w:p w:rsidR="00685C40" w:rsidRDefault="00777E59" w:rsidP="00685C40">
            <w:pPr>
              <w:pStyle w:val="Bullet1"/>
            </w:pPr>
            <w:r>
              <w:t xml:space="preserve">Discharges should be in line with the appropriate requirements of the MARPOL convention.  For sanitary waste, this is Annex IV.  Annex IV specifies that black water (sewage) will be passed through a macerator (&lt;25 millimetres) and a dedicated </w:t>
            </w:r>
            <w:proofErr w:type="spellStart"/>
            <w:r>
              <w:t>onboard</w:t>
            </w:r>
            <w:proofErr w:type="spellEnd"/>
            <w:r>
              <w:t xml:space="preserve"> sewage treatment plant prior to discharge to the sea. </w:t>
            </w:r>
          </w:p>
          <w:p w:rsidR="00777E59" w:rsidRDefault="00777E59" w:rsidP="00685C40">
            <w:pPr>
              <w:pStyle w:val="Bullet1"/>
              <w:numPr>
                <w:ilvl w:val="0"/>
                <w:numId w:val="0"/>
              </w:numPr>
              <w:ind w:left="340"/>
            </w:pPr>
            <w:r>
              <w:t>Grey water will be processed through the same sewage treatment plant before being discharged in line with MARPOL requirements.</w:t>
            </w:r>
          </w:p>
        </w:tc>
      </w:tr>
      <w:tr w:rsidR="00777E59" w:rsidRPr="00162D9E" w:rsidTr="00777E59">
        <w:trPr>
          <w:cnfStyle w:val="000000010000" w:firstRow="0" w:lastRow="0" w:firstColumn="0" w:lastColumn="0" w:oddVBand="0" w:evenVBand="0" w:oddHBand="0" w:evenHBand="1" w:firstRowFirstColumn="0" w:firstRowLastColumn="0" w:lastRowFirstColumn="0" w:lastRowLastColumn="0"/>
        </w:trPr>
        <w:tc>
          <w:tcPr>
            <w:tcW w:w="433" w:type="pct"/>
            <w:vMerge/>
            <w:shd w:val="clear" w:color="auto" w:fill="auto"/>
          </w:tcPr>
          <w:p w:rsidR="00777E59" w:rsidRPr="00A717A6" w:rsidRDefault="00777E59" w:rsidP="00A717A6"/>
        </w:tc>
        <w:tc>
          <w:tcPr>
            <w:tcW w:w="767" w:type="pct"/>
            <w:vMerge/>
            <w:shd w:val="clear" w:color="auto" w:fill="auto"/>
          </w:tcPr>
          <w:p w:rsidR="00777E59" w:rsidRDefault="00777E59" w:rsidP="00A717A6"/>
        </w:tc>
        <w:tc>
          <w:tcPr>
            <w:tcW w:w="600" w:type="pct"/>
            <w:vMerge/>
            <w:shd w:val="clear" w:color="auto" w:fill="auto"/>
          </w:tcPr>
          <w:p w:rsidR="00777E59" w:rsidRDefault="00777E59" w:rsidP="006A7D9C">
            <w:pPr>
              <w:pStyle w:val="TableBullet1"/>
              <w:spacing w:before="120"/>
            </w:pPr>
          </w:p>
        </w:tc>
        <w:tc>
          <w:tcPr>
            <w:tcW w:w="1600" w:type="pct"/>
            <w:shd w:val="clear" w:color="auto" w:fill="auto"/>
          </w:tcPr>
          <w:p w:rsidR="00777E59" w:rsidRDefault="00777E59" w:rsidP="00777E59">
            <w:r>
              <w:t xml:space="preserve">Drainage water is expected to be generated by the MSV (i.e. non mining related operations) and support vessels.  This water may contain trace amounts of chemicals, oils, lubricants and sediments, resulting from small leaks or spills washed out from the open deck areas.  </w:t>
            </w:r>
          </w:p>
          <w:p w:rsidR="00777E59" w:rsidRPr="006A7D9C" w:rsidRDefault="00777E59" w:rsidP="008C3872"/>
        </w:tc>
        <w:tc>
          <w:tcPr>
            <w:tcW w:w="1600" w:type="pct"/>
            <w:shd w:val="clear" w:color="auto" w:fill="auto"/>
          </w:tcPr>
          <w:p w:rsidR="00FA636B" w:rsidRDefault="00FA636B" w:rsidP="00FA636B">
            <w:r w:rsidRPr="00950F86">
              <w:rPr>
                <w:u w:val="single"/>
              </w:rPr>
              <w:t>Potential mitigation measures</w:t>
            </w:r>
            <w:r>
              <w:t xml:space="preserve"> </w:t>
            </w:r>
          </w:p>
          <w:p w:rsidR="00777E59" w:rsidRDefault="00777E59" w:rsidP="00685C40">
            <w:pPr>
              <w:pStyle w:val="Bullet1"/>
            </w:pPr>
            <w:proofErr w:type="spellStart"/>
            <w:r>
              <w:t>Onboard</w:t>
            </w:r>
            <w:proofErr w:type="spellEnd"/>
            <w:r>
              <w:t xml:space="preserve"> the MSV, drainage and deck water runoff from clean and potentially contaminated areas is directed to on-board holding tanks.  From here the water is passed through an processing plant, if appropriate.  Overboard discharge from any water treatment system will be monitored for chemical content.  Sensors in the deck drains should be set to divert the waste stream back into storage tanks for further treatment if the chemical concentrations exceed pre-set limits.</w:t>
            </w:r>
          </w:p>
          <w:p w:rsidR="00777E59" w:rsidRDefault="00777E59" w:rsidP="00685C40">
            <w:pPr>
              <w:pStyle w:val="Bullet1"/>
            </w:pPr>
            <w:r>
              <w:t xml:space="preserve">All decks should be </w:t>
            </w:r>
            <w:proofErr w:type="spellStart"/>
            <w:r>
              <w:t>bunded</w:t>
            </w:r>
            <w:proofErr w:type="spellEnd"/>
            <w:r>
              <w:t xml:space="preserve"> to minimise the likelihood of any untreated chemicals or leaks entering the marine environment; </w:t>
            </w:r>
          </w:p>
          <w:p w:rsidR="00777E59" w:rsidRPr="006A7D9C" w:rsidRDefault="00777E59" w:rsidP="00685C40">
            <w:pPr>
              <w:pStyle w:val="Bullet1"/>
            </w:pPr>
            <w:r>
              <w:t xml:space="preserve">Good housekeeping standards will be maintained on the </w:t>
            </w:r>
            <w:r w:rsidR="00685C40">
              <w:t>MSV</w:t>
            </w:r>
            <w:r>
              <w:t xml:space="preserve"> (and all support vessels) to minimise the presence of any chemicals in discharged drainage or deck water.  </w:t>
            </w:r>
          </w:p>
        </w:tc>
      </w:tr>
      <w:tr w:rsidR="00777E59" w:rsidRPr="00162D9E" w:rsidTr="00777E59">
        <w:trPr>
          <w:cnfStyle w:val="000000100000" w:firstRow="0" w:lastRow="0" w:firstColumn="0" w:lastColumn="0" w:oddVBand="0" w:evenVBand="0" w:oddHBand="1" w:evenHBand="0" w:firstRowFirstColumn="0" w:firstRowLastColumn="0" w:lastRowFirstColumn="0" w:lastRowLastColumn="0"/>
        </w:trPr>
        <w:tc>
          <w:tcPr>
            <w:tcW w:w="433" w:type="pct"/>
            <w:vMerge/>
            <w:shd w:val="clear" w:color="auto" w:fill="auto"/>
          </w:tcPr>
          <w:p w:rsidR="00777E59" w:rsidRPr="00A717A6" w:rsidRDefault="00777E59" w:rsidP="00A717A6"/>
        </w:tc>
        <w:tc>
          <w:tcPr>
            <w:tcW w:w="767" w:type="pct"/>
            <w:vMerge/>
            <w:shd w:val="clear" w:color="auto" w:fill="auto"/>
          </w:tcPr>
          <w:p w:rsidR="00777E59" w:rsidRDefault="00777E59" w:rsidP="00A717A6"/>
        </w:tc>
        <w:tc>
          <w:tcPr>
            <w:tcW w:w="600" w:type="pct"/>
            <w:vMerge/>
            <w:shd w:val="clear" w:color="auto" w:fill="auto"/>
          </w:tcPr>
          <w:p w:rsidR="00777E59" w:rsidRDefault="00777E59" w:rsidP="006A7D9C">
            <w:pPr>
              <w:pStyle w:val="TableBullet1"/>
              <w:spacing w:before="120"/>
            </w:pPr>
          </w:p>
        </w:tc>
        <w:tc>
          <w:tcPr>
            <w:tcW w:w="1600" w:type="pct"/>
            <w:shd w:val="clear" w:color="auto" w:fill="auto"/>
          </w:tcPr>
          <w:p w:rsidR="00777E59" w:rsidRPr="006A7D9C" w:rsidRDefault="00777E59" w:rsidP="008C3872">
            <w:r>
              <w:t xml:space="preserve">Food waste may be discharged from the MSV and support vessels into the marine environment.  </w:t>
            </w:r>
          </w:p>
        </w:tc>
        <w:tc>
          <w:tcPr>
            <w:tcW w:w="1600" w:type="pct"/>
            <w:shd w:val="clear" w:color="auto" w:fill="auto"/>
          </w:tcPr>
          <w:p w:rsidR="00FA636B" w:rsidRDefault="00FA636B" w:rsidP="00FA636B">
            <w:r w:rsidRPr="00950F86">
              <w:rPr>
                <w:u w:val="single"/>
              </w:rPr>
              <w:t>Potential mitigation measures</w:t>
            </w:r>
            <w:r>
              <w:t xml:space="preserve"> </w:t>
            </w:r>
          </w:p>
          <w:p w:rsidR="00777E59" w:rsidRPr="00596B69" w:rsidRDefault="00777E59" w:rsidP="00685C40">
            <w:pPr>
              <w:pStyle w:val="Bullet1"/>
            </w:pPr>
            <w:r w:rsidRPr="00292CC0">
              <w:t xml:space="preserve">Food waste from the galley will be passed through a macerator (&lt;25 </w:t>
            </w:r>
            <w:r w:rsidRPr="00292CC0">
              <w:lastRenderedPageBreak/>
              <w:t>millimetres) prior to discharge overboard outside the 12 nautical miles zone, as required by MARPOL Convention. The disposal of any other garbage at sea is prohibited by legislation.</w:t>
            </w:r>
          </w:p>
          <w:p w:rsidR="00777E59" w:rsidRDefault="00777E59" w:rsidP="00685C40">
            <w:pPr>
              <w:pStyle w:val="Bullet1"/>
            </w:pPr>
            <w:r w:rsidRPr="00292CC0">
              <w:t xml:space="preserve">Good housekeeping standards </w:t>
            </w:r>
            <w:r>
              <w:t xml:space="preserve">and instituting a recycling policy on-board will assist </w:t>
            </w:r>
            <w:r w:rsidRPr="00292CC0">
              <w:t>to minimise the volume of waste generated during the project</w:t>
            </w:r>
          </w:p>
          <w:p w:rsidR="00777E59" w:rsidRPr="006A7D9C" w:rsidRDefault="00777E59" w:rsidP="00685C40">
            <w:pPr>
              <w:pStyle w:val="Bullet1"/>
            </w:pPr>
            <w:r>
              <w:t>The pre-project assessment may consider if the use of a high temperature incinerator would be a viable option instead of discharging the waste.  However any incinerator will have to comply with any technical requirements in MARPOL Annex V.</w:t>
            </w:r>
          </w:p>
        </w:tc>
      </w:tr>
      <w:tr w:rsidR="00777E59" w:rsidRPr="00162D9E" w:rsidTr="00777E59">
        <w:trPr>
          <w:cnfStyle w:val="000000010000" w:firstRow="0" w:lastRow="0" w:firstColumn="0" w:lastColumn="0" w:oddVBand="0" w:evenVBand="0" w:oddHBand="0" w:evenHBand="1" w:firstRowFirstColumn="0" w:firstRowLastColumn="0" w:lastRowFirstColumn="0" w:lastRowLastColumn="0"/>
        </w:trPr>
        <w:tc>
          <w:tcPr>
            <w:tcW w:w="433" w:type="pct"/>
            <w:vMerge/>
            <w:shd w:val="clear" w:color="auto" w:fill="auto"/>
          </w:tcPr>
          <w:p w:rsidR="00777E59" w:rsidRPr="00A717A6" w:rsidRDefault="00777E59" w:rsidP="00A717A6"/>
        </w:tc>
        <w:tc>
          <w:tcPr>
            <w:tcW w:w="767" w:type="pct"/>
            <w:vMerge/>
            <w:shd w:val="clear" w:color="auto" w:fill="auto"/>
          </w:tcPr>
          <w:p w:rsidR="00777E59" w:rsidRDefault="00777E59" w:rsidP="00A717A6"/>
        </w:tc>
        <w:tc>
          <w:tcPr>
            <w:tcW w:w="600" w:type="pct"/>
            <w:vMerge/>
            <w:shd w:val="clear" w:color="auto" w:fill="auto"/>
          </w:tcPr>
          <w:p w:rsidR="00777E59" w:rsidRDefault="00777E59" w:rsidP="006A7D9C">
            <w:pPr>
              <w:pStyle w:val="TableBullet1"/>
              <w:spacing w:before="120"/>
            </w:pPr>
          </w:p>
        </w:tc>
        <w:tc>
          <w:tcPr>
            <w:tcW w:w="1600" w:type="pct"/>
            <w:shd w:val="clear" w:color="auto" w:fill="auto"/>
          </w:tcPr>
          <w:p w:rsidR="00685C40" w:rsidRDefault="00685C40" w:rsidP="00685C40">
            <w:r>
              <w:t>The discharge of d</w:t>
            </w:r>
            <w:r w:rsidR="00777E59">
              <w:t>ewatering fluids</w:t>
            </w:r>
            <w:r>
              <w:t xml:space="preserve"> associated with the consolidation of recovered material may lead to the following impacts:</w:t>
            </w:r>
          </w:p>
          <w:p w:rsidR="00685C40" w:rsidRDefault="00685C40" w:rsidP="00685C40">
            <w:pPr>
              <w:pStyle w:val="NumBullet1"/>
              <w:numPr>
                <w:ilvl w:val="0"/>
                <w:numId w:val="30"/>
              </w:numPr>
            </w:pPr>
            <w:r>
              <w:t>Increased suspended sediment concentration.  This could lead to the mortality and reduction in biodiversity of the zoo- and phytoplankton communities in the photic zone.  Any re-suspended contaminants could bio-accumulate throughout the food chain and affect higher trophic order organisms.</w:t>
            </w:r>
          </w:p>
          <w:p w:rsidR="00685C40" w:rsidRDefault="00685C40" w:rsidP="00685C40">
            <w:pPr>
              <w:pStyle w:val="NumBullet1"/>
            </w:pPr>
            <w:r>
              <w:t>Reduced ambient light levels due to suspended sediment:  This may have a number of impacts such as:-</w:t>
            </w:r>
          </w:p>
          <w:p w:rsidR="00685C40" w:rsidRDefault="00685C40" w:rsidP="00685C40">
            <w:pPr>
              <w:pStyle w:val="NumBullet2"/>
            </w:pPr>
            <w:r>
              <w:t>A reduction in primary production: This would be an additional stressor and lead to a reduction in the ability of the ecosystem to tolerate change.</w:t>
            </w:r>
          </w:p>
          <w:p w:rsidR="00685C40" w:rsidRDefault="00685C40" w:rsidP="00685C40">
            <w:pPr>
              <w:pStyle w:val="NumBullet2"/>
            </w:pPr>
            <w:r>
              <w:t>Effects on pelagic fish (mortality and behaviour): The lower light levels may restrict visibility, leading to variations in predator-prey relationships.</w:t>
            </w:r>
          </w:p>
          <w:p w:rsidR="00777E59" w:rsidRPr="006A7D9C" w:rsidRDefault="00685C40" w:rsidP="00685C40">
            <w:pPr>
              <w:pStyle w:val="NumBullet2"/>
            </w:pPr>
            <w:r>
              <w:t xml:space="preserve">Effects on the behaviour of marine mammals and turtles. </w:t>
            </w:r>
          </w:p>
        </w:tc>
        <w:tc>
          <w:tcPr>
            <w:tcW w:w="1600" w:type="pct"/>
            <w:shd w:val="clear" w:color="auto" w:fill="auto"/>
          </w:tcPr>
          <w:p w:rsidR="00FA636B" w:rsidRDefault="00FA636B" w:rsidP="00FA636B">
            <w:r w:rsidRPr="00950F86">
              <w:rPr>
                <w:u w:val="single"/>
              </w:rPr>
              <w:t>Potential mitigation measures</w:t>
            </w:r>
            <w:r>
              <w:t xml:space="preserve"> </w:t>
            </w:r>
          </w:p>
          <w:p w:rsidR="00685C40" w:rsidRDefault="00685C40" w:rsidP="00685C40">
            <w:pPr>
              <w:pStyle w:val="Bullet1"/>
            </w:pPr>
            <w:r>
              <w:t xml:space="preserve">Undertake dispersion modelling to ascertain the extent of any sediment plume.  </w:t>
            </w:r>
          </w:p>
          <w:p w:rsidR="00685C40" w:rsidRDefault="00685C40" w:rsidP="00685C40">
            <w:pPr>
              <w:pStyle w:val="Bullet1"/>
            </w:pPr>
            <w:r>
              <w:t>Conduct dewatering fluid d</w:t>
            </w:r>
            <w:r w:rsidRPr="00685C40">
              <w:t>ischarge during hours of darkness</w:t>
            </w:r>
            <w:r>
              <w:t xml:space="preserve"> to minimise impact on the photic zone</w:t>
            </w:r>
            <w:r w:rsidRPr="00685C40">
              <w:t>.</w:t>
            </w:r>
          </w:p>
          <w:p w:rsidR="00FF7353" w:rsidRPr="00685C40" w:rsidRDefault="00FF7353" w:rsidP="00685C40">
            <w:pPr>
              <w:pStyle w:val="Bullet1"/>
            </w:pPr>
            <w:r>
              <w:t>Release dewatering fluid at depth (i.e. below the photic zone)</w:t>
            </w:r>
          </w:p>
          <w:p w:rsidR="00685C40" w:rsidRDefault="00685C40" w:rsidP="00685C40">
            <w:pPr>
              <w:pStyle w:val="Bullet1"/>
            </w:pPr>
            <w:r>
              <w:t>Undertake periodic discharges rather than continuous discharges, in order to give sediments sufficient time to disperse.</w:t>
            </w:r>
          </w:p>
          <w:p w:rsidR="00777E59" w:rsidRPr="006A7D9C" w:rsidRDefault="00777E59" w:rsidP="008C3872"/>
        </w:tc>
      </w:tr>
      <w:tr w:rsidR="00777E59" w:rsidRPr="00162D9E" w:rsidTr="00777E59">
        <w:trPr>
          <w:cnfStyle w:val="000000100000" w:firstRow="0" w:lastRow="0" w:firstColumn="0" w:lastColumn="0" w:oddVBand="0" w:evenVBand="0" w:oddHBand="1" w:evenHBand="0" w:firstRowFirstColumn="0" w:firstRowLastColumn="0" w:lastRowFirstColumn="0" w:lastRowLastColumn="0"/>
        </w:trPr>
        <w:tc>
          <w:tcPr>
            <w:tcW w:w="433" w:type="pct"/>
            <w:vMerge/>
            <w:shd w:val="clear" w:color="auto" w:fill="auto"/>
          </w:tcPr>
          <w:p w:rsidR="00777E59" w:rsidRPr="00A717A6" w:rsidRDefault="00777E59" w:rsidP="00A717A6"/>
        </w:tc>
        <w:tc>
          <w:tcPr>
            <w:tcW w:w="767" w:type="pct"/>
            <w:vMerge/>
            <w:shd w:val="clear" w:color="auto" w:fill="auto"/>
          </w:tcPr>
          <w:p w:rsidR="00777E59" w:rsidRDefault="00777E59" w:rsidP="00A717A6"/>
        </w:tc>
        <w:tc>
          <w:tcPr>
            <w:tcW w:w="600" w:type="pct"/>
            <w:vMerge/>
            <w:shd w:val="clear" w:color="auto" w:fill="auto"/>
          </w:tcPr>
          <w:p w:rsidR="00777E59" w:rsidRDefault="00777E59" w:rsidP="006A7D9C">
            <w:pPr>
              <w:pStyle w:val="TableBullet1"/>
              <w:spacing w:before="120"/>
            </w:pPr>
          </w:p>
        </w:tc>
        <w:tc>
          <w:tcPr>
            <w:tcW w:w="1600" w:type="pct"/>
            <w:shd w:val="clear" w:color="auto" w:fill="auto"/>
          </w:tcPr>
          <w:p w:rsidR="00777E59" w:rsidRPr="006A7D9C" w:rsidRDefault="00777E59" w:rsidP="008C3872">
            <w:r>
              <w:t xml:space="preserve">The intake and discharge of ballast water will be required during project operations.  The MSV and support vessels will also require regular </w:t>
            </w:r>
            <w:r w:rsidRPr="006A7D9C">
              <w:t>ballasting</w:t>
            </w:r>
            <w:r>
              <w:t xml:space="preserve"> and de-ballasting due to their constant supply of materials, personnel and equipment to and from the MSV.  </w:t>
            </w:r>
          </w:p>
        </w:tc>
        <w:tc>
          <w:tcPr>
            <w:tcW w:w="1600" w:type="pct"/>
            <w:shd w:val="clear" w:color="auto" w:fill="auto"/>
          </w:tcPr>
          <w:p w:rsidR="00FA636B" w:rsidRDefault="00FA636B" w:rsidP="00FA636B">
            <w:r w:rsidRPr="00950F86">
              <w:rPr>
                <w:u w:val="single"/>
              </w:rPr>
              <w:t>Potential mitigation measures</w:t>
            </w:r>
            <w:r>
              <w:t xml:space="preserve"> </w:t>
            </w:r>
          </w:p>
          <w:p w:rsidR="00777E59" w:rsidRDefault="00777E59" w:rsidP="00777E59">
            <w:r>
              <w:t xml:space="preserve">Mitigation measures primarily include following the </w:t>
            </w:r>
            <w:r w:rsidRPr="00A665ED">
              <w:t>International convention for the control and management of ships’ ballast water and sediments, 2004 (BWM 2004)</w:t>
            </w:r>
            <w:r>
              <w:t xml:space="preserve">.  Specifically Regulation D-2 (Ballast Water Performance Standard) which states that vessels are permitted to: </w:t>
            </w:r>
          </w:p>
          <w:p w:rsidR="00777E59" w:rsidRDefault="00777E59" w:rsidP="00777E59">
            <w:pPr>
              <w:pStyle w:val="Bullet2"/>
            </w:pPr>
            <w:r>
              <w:t xml:space="preserve">Discharge less than 10 viable organisms per cubic metre ≥50 micrometres in minimum dimension; and </w:t>
            </w:r>
          </w:p>
          <w:p w:rsidR="00777E59" w:rsidRDefault="00777E59" w:rsidP="00777E59">
            <w:pPr>
              <w:pStyle w:val="Bullet2"/>
            </w:pPr>
            <w:r>
              <w:t xml:space="preserve">Discharge less than 10 viable organisms per millilitre varying in size between 10 and 50 micrometres in minimum dimension </w:t>
            </w:r>
          </w:p>
          <w:p w:rsidR="00777E59" w:rsidRPr="006A7D9C" w:rsidRDefault="00777E59" w:rsidP="00685C40">
            <w:r>
              <w:t>This can include bacteria and other microbes, small invertebrates and the eggs, cysts and larvae of various species.  The majority of marine species have life cycles that include a planktonic stage or stages, so even if adults are unlikely to be taken on in ballast water, they may be transferred during their planktonic stage.</w:t>
            </w:r>
          </w:p>
        </w:tc>
      </w:tr>
      <w:tr w:rsidR="00DA3484" w:rsidRPr="00162D9E" w:rsidTr="00685C40">
        <w:trPr>
          <w:cnfStyle w:val="000000010000" w:firstRow="0" w:lastRow="0" w:firstColumn="0" w:lastColumn="0" w:oddVBand="0" w:evenVBand="0" w:oddHBand="0" w:evenHBand="1" w:firstRowFirstColumn="0" w:firstRowLastColumn="0" w:lastRowFirstColumn="0" w:lastRowLastColumn="0"/>
        </w:trPr>
        <w:tc>
          <w:tcPr>
            <w:tcW w:w="433" w:type="pct"/>
            <w:vMerge w:val="restart"/>
            <w:shd w:val="clear" w:color="auto" w:fill="auto"/>
          </w:tcPr>
          <w:p w:rsidR="00DA3484" w:rsidRPr="00A717A6" w:rsidRDefault="00DA3484" w:rsidP="00A717A6">
            <w:r w:rsidRPr="00A717A6">
              <w:t>Socio-economic / Cultural</w:t>
            </w:r>
          </w:p>
        </w:tc>
        <w:tc>
          <w:tcPr>
            <w:tcW w:w="767" w:type="pct"/>
            <w:vMerge w:val="restart"/>
            <w:shd w:val="clear" w:color="auto" w:fill="auto"/>
          </w:tcPr>
          <w:p w:rsidR="00DA3484" w:rsidRPr="00A717A6" w:rsidRDefault="00DA3484" w:rsidP="00A717A6">
            <w:r>
              <w:t xml:space="preserve">DSM may have an impact on socio-economic and cultural receptors.  As deep sea mining will typically occur a substantial </w:t>
            </w:r>
            <w:r>
              <w:lastRenderedPageBreak/>
              <w:t>distance from the coastline, there is unlikely to be any impacts on artisanal fisheries or other associated economic activities, with the possible exception of offshore commercial fisheries</w:t>
            </w:r>
          </w:p>
        </w:tc>
        <w:tc>
          <w:tcPr>
            <w:tcW w:w="600" w:type="pct"/>
            <w:shd w:val="clear" w:color="auto" w:fill="auto"/>
          </w:tcPr>
          <w:p w:rsidR="00DA3484" w:rsidRDefault="00DA3484" w:rsidP="006A7D9C">
            <w:pPr>
              <w:pStyle w:val="TableBullet1"/>
              <w:spacing w:before="120"/>
            </w:pPr>
            <w:r>
              <w:lastRenderedPageBreak/>
              <w:t>Interactions with commercial fisheries</w:t>
            </w:r>
          </w:p>
        </w:tc>
        <w:tc>
          <w:tcPr>
            <w:tcW w:w="1600" w:type="pct"/>
            <w:shd w:val="clear" w:color="auto" w:fill="auto"/>
          </w:tcPr>
          <w:p w:rsidR="00DA3484" w:rsidRPr="006A7D9C" w:rsidRDefault="00DA3484" w:rsidP="008C3872">
            <w:r w:rsidRPr="006A7D9C">
              <w:t xml:space="preserve">Interference with commercial fishing vessels may occur, and the mining operations may cause temporary, limited disruption and displacement of some commercial fishing operations (if there are any operating within the region), which could lead to a decrease in catch. </w:t>
            </w:r>
          </w:p>
        </w:tc>
        <w:tc>
          <w:tcPr>
            <w:tcW w:w="1600" w:type="pct"/>
            <w:shd w:val="clear" w:color="auto" w:fill="auto"/>
          </w:tcPr>
          <w:p w:rsidR="00DA3484" w:rsidRDefault="00DA3484" w:rsidP="00FA636B">
            <w:r w:rsidRPr="00950F86">
              <w:rPr>
                <w:u w:val="single"/>
              </w:rPr>
              <w:t>Potential mitigation measures</w:t>
            </w:r>
            <w:r>
              <w:t xml:space="preserve"> </w:t>
            </w:r>
          </w:p>
          <w:p w:rsidR="00DA3484" w:rsidRPr="006A7D9C" w:rsidRDefault="00DA3484" w:rsidP="00DA3484">
            <w:pPr>
              <w:pStyle w:val="Bullet1"/>
            </w:pPr>
            <w:r>
              <w:t xml:space="preserve">Project operators should ensure that there is frequent and regular liaison between project vessels and the relevant port and fishing authorities.  This includes providing items such as vessel schedules, </w:t>
            </w:r>
            <w:r>
              <w:lastRenderedPageBreak/>
              <w:t>details of any exclusion zones and project vessel details.</w:t>
            </w:r>
          </w:p>
        </w:tc>
      </w:tr>
      <w:tr w:rsidR="00DA3484" w:rsidRPr="00162D9E" w:rsidTr="00685C40">
        <w:trPr>
          <w:cnfStyle w:val="000000100000" w:firstRow="0" w:lastRow="0" w:firstColumn="0" w:lastColumn="0" w:oddVBand="0" w:evenVBand="0" w:oddHBand="1" w:evenHBand="0" w:firstRowFirstColumn="0" w:firstRowLastColumn="0" w:lastRowFirstColumn="0" w:lastRowLastColumn="0"/>
        </w:trPr>
        <w:tc>
          <w:tcPr>
            <w:tcW w:w="433" w:type="pct"/>
            <w:vMerge/>
            <w:shd w:val="clear" w:color="auto" w:fill="auto"/>
          </w:tcPr>
          <w:p w:rsidR="00DA3484" w:rsidRPr="00A717A6" w:rsidRDefault="00DA3484" w:rsidP="00A717A6"/>
        </w:tc>
        <w:tc>
          <w:tcPr>
            <w:tcW w:w="767" w:type="pct"/>
            <w:vMerge/>
            <w:shd w:val="clear" w:color="auto" w:fill="auto"/>
          </w:tcPr>
          <w:p w:rsidR="00DA3484" w:rsidRPr="00A717A6" w:rsidRDefault="00DA3484" w:rsidP="00A717A6"/>
        </w:tc>
        <w:tc>
          <w:tcPr>
            <w:tcW w:w="600" w:type="pct"/>
            <w:shd w:val="clear" w:color="auto" w:fill="auto"/>
          </w:tcPr>
          <w:p w:rsidR="00DA3484" w:rsidRDefault="00DA3484" w:rsidP="005E6B12">
            <w:pPr>
              <w:pStyle w:val="TableBullet1"/>
              <w:spacing w:before="120"/>
            </w:pPr>
            <w:r>
              <w:t>Identification of historic</w:t>
            </w:r>
            <w:r w:rsidR="005E6B12">
              <w:t xml:space="preserve"> </w:t>
            </w:r>
            <w:r>
              <w:t>wreck sites</w:t>
            </w:r>
          </w:p>
        </w:tc>
        <w:tc>
          <w:tcPr>
            <w:tcW w:w="1600" w:type="pct"/>
            <w:shd w:val="clear" w:color="auto" w:fill="auto"/>
          </w:tcPr>
          <w:p w:rsidR="00DA3484" w:rsidRPr="006A7D9C" w:rsidRDefault="00DA3484" w:rsidP="006A7D9C">
            <w:r w:rsidRPr="006A7D9C">
              <w:t>There is a possibility that during either pre-project surveys or project operations, shipwrecks or other archaeological / cultural sites may be recorded in the dataset.</w:t>
            </w:r>
          </w:p>
          <w:p w:rsidR="00DA3484" w:rsidRPr="006A7D9C" w:rsidRDefault="00DA3484" w:rsidP="006A7D9C">
            <w:r w:rsidRPr="006A7D9C">
              <w:t>Shipwrecks are typically protected from disturbance by either national or international law (e.g. UNESCO Convention on the Protection of the Underwater Cultural Heritage ).  Military wrecks, remain under the jurisdiction and protection of the government that lost the ship</w:t>
            </w:r>
            <w:r w:rsidR="005E6B12">
              <w:t xml:space="preserve"> or aircraft</w:t>
            </w:r>
            <w:r w:rsidRPr="006A7D9C">
              <w:t>.</w:t>
            </w:r>
          </w:p>
        </w:tc>
        <w:tc>
          <w:tcPr>
            <w:tcW w:w="1600" w:type="pct"/>
            <w:shd w:val="clear" w:color="auto" w:fill="auto"/>
          </w:tcPr>
          <w:p w:rsidR="00DA3484" w:rsidRDefault="00DA3484" w:rsidP="00FA636B">
            <w:r w:rsidRPr="00950F86">
              <w:rPr>
                <w:u w:val="single"/>
              </w:rPr>
              <w:t>Potential mitigation measures</w:t>
            </w:r>
            <w:r>
              <w:t xml:space="preserve"> </w:t>
            </w:r>
          </w:p>
          <w:p w:rsidR="00DA3484" w:rsidRDefault="00DA3484" w:rsidP="00DA3484">
            <w:pPr>
              <w:pStyle w:val="Bullet1"/>
            </w:pPr>
            <w:r>
              <w:t>DSM operators should consider conducting a pre-project geophysical survey in order to identify any potential wreck sites.</w:t>
            </w:r>
          </w:p>
          <w:p w:rsidR="00DA3484" w:rsidRDefault="00DA3484" w:rsidP="00DA3484">
            <w:pPr>
              <w:pStyle w:val="Bullet1"/>
            </w:pPr>
            <w:r>
              <w:t>The DSM operator shall notify the relevant authorities in the event of any wreck being discovered, either during the project planning stage or during operations.</w:t>
            </w:r>
          </w:p>
          <w:p w:rsidR="00DA3484" w:rsidRPr="006A7D9C" w:rsidRDefault="00DA3484" w:rsidP="00DA3484">
            <w:pPr>
              <w:pStyle w:val="Bullet1"/>
            </w:pPr>
            <w:r>
              <w:t xml:space="preserve">Should any culturally sensitive sites be observed on the data, the mining area should be adjusted so as to minimise any potential impacts. </w:t>
            </w:r>
          </w:p>
        </w:tc>
      </w:tr>
      <w:tr w:rsidR="00DA3484" w:rsidRPr="00162D9E" w:rsidTr="00685C40">
        <w:trPr>
          <w:cnfStyle w:val="000000010000" w:firstRow="0" w:lastRow="0" w:firstColumn="0" w:lastColumn="0" w:oddVBand="0" w:evenVBand="0" w:oddHBand="0" w:evenHBand="1" w:firstRowFirstColumn="0" w:firstRowLastColumn="0" w:lastRowFirstColumn="0" w:lastRowLastColumn="0"/>
        </w:trPr>
        <w:tc>
          <w:tcPr>
            <w:tcW w:w="433" w:type="pct"/>
            <w:vMerge/>
            <w:shd w:val="clear" w:color="auto" w:fill="auto"/>
          </w:tcPr>
          <w:p w:rsidR="00DA3484" w:rsidRPr="00A717A6" w:rsidRDefault="00DA3484" w:rsidP="00A717A6"/>
        </w:tc>
        <w:tc>
          <w:tcPr>
            <w:tcW w:w="767" w:type="pct"/>
            <w:vMerge/>
            <w:shd w:val="clear" w:color="auto" w:fill="auto"/>
          </w:tcPr>
          <w:p w:rsidR="00DA3484" w:rsidRPr="00A717A6" w:rsidRDefault="00DA3484" w:rsidP="00A717A6"/>
        </w:tc>
        <w:tc>
          <w:tcPr>
            <w:tcW w:w="600" w:type="pct"/>
            <w:shd w:val="clear" w:color="auto" w:fill="auto"/>
          </w:tcPr>
          <w:p w:rsidR="00DA3484" w:rsidRDefault="00DA3484" w:rsidP="006A7D9C">
            <w:pPr>
              <w:pStyle w:val="TableBullet1"/>
              <w:spacing w:before="120"/>
            </w:pPr>
            <w:r>
              <w:t>Possible presence of UXO</w:t>
            </w:r>
          </w:p>
        </w:tc>
        <w:tc>
          <w:tcPr>
            <w:tcW w:w="1600" w:type="pct"/>
            <w:shd w:val="clear" w:color="auto" w:fill="auto"/>
          </w:tcPr>
          <w:p w:rsidR="00DA3484" w:rsidRPr="006A7D9C" w:rsidRDefault="00DA3484" w:rsidP="006A7D9C">
            <w:r w:rsidRPr="006A7D9C">
              <w:t>If the wreck is a military vehicle, then there is the potential for unexploded ordinance (UXO) to be present.  UXO may be detected as magnetic anomalies during any pre-mining surveys.  UXO management requires specialist expertise to manage the hazard safely.  There is a substantial risk to life, environment and equipment if UXO is improperly handled.</w:t>
            </w:r>
          </w:p>
        </w:tc>
        <w:tc>
          <w:tcPr>
            <w:tcW w:w="1600" w:type="pct"/>
            <w:shd w:val="clear" w:color="auto" w:fill="auto"/>
          </w:tcPr>
          <w:p w:rsidR="00DA3484" w:rsidRDefault="00DA3484" w:rsidP="00FA636B">
            <w:r w:rsidRPr="00950F86">
              <w:rPr>
                <w:u w:val="single"/>
              </w:rPr>
              <w:t>Potential mitigation measures</w:t>
            </w:r>
            <w:r>
              <w:t xml:space="preserve"> </w:t>
            </w:r>
          </w:p>
          <w:p w:rsidR="00DA3484" w:rsidRPr="006A7D9C" w:rsidRDefault="00DA3484" w:rsidP="00DA3484">
            <w:pPr>
              <w:pStyle w:val="Bullet1"/>
            </w:pPr>
            <w:r>
              <w:t xml:space="preserve">If UXO is suspected in the area (either as the result of wreck detection, or as the result of background research) then a specialist survey contractor should be engaged to investigate the area prior to project commencement..  </w:t>
            </w:r>
          </w:p>
        </w:tc>
      </w:tr>
      <w:tr w:rsidR="00DA3484" w:rsidRPr="00162D9E" w:rsidTr="00685C40">
        <w:trPr>
          <w:cnfStyle w:val="000000100000" w:firstRow="0" w:lastRow="0" w:firstColumn="0" w:lastColumn="0" w:oddVBand="0" w:evenVBand="0" w:oddHBand="1" w:evenHBand="0" w:firstRowFirstColumn="0" w:firstRowLastColumn="0" w:lastRowFirstColumn="0" w:lastRowLastColumn="0"/>
        </w:trPr>
        <w:tc>
          <w:tcPr>
            <w:tcW w:w="433" w:type="pct"/>
            <w:vMerge/>
            <w:shd w:val="clear" w:color="auto" w:fill="auto"/>
          </w:tcPr>
          <w:p w:rsidR="00DA3484" w:rsidRPr="00A717A6" w:rsidRDefault="00DA3484" w:rsidP="00A717A6"/>
        </w:tc>
        <w:tc>
          <w:tcPr>
            <w:tcW w:w="767" w:type="pct"/>
            <w:vMerge/>
            <w:shd w:val="clear" w:color="auto" w:fill="auto"/>
          </w:tcPr>
          <w:p w:rsidR="00DA3484" w:rsidRPr="00A717A6" w:rsidRDefault="00DA3484" w:rsidP="00A717A6"/>
        </w:tc>
        <w:tc>
          <w:tcPr>
            <w:tcW w:w="600" w:type="pct"/>
            <w:shd w:val="clear" w:color="auto" w:fill="auto"/>
          </w:tcPr>
          <w:p w:rsidR="00DA3484" w:rsidRDefault="00DA3484" w:rsidP="006A7D9C">
            <w:pPr>
              <w:pStyle w:val="TableBullet1"/>
              <w:spacing w:before="120"/>
            </w:pPr>
            <w:r>
              <w:t>Beneficial results</w:t>
            </w:r>
          </w:p>
        </w:tc>
        <w:tc>
          <w:tcPr>
            <w:tcW w:w="1600" w:type="pct"/>
            <w:shd w:val="clear" w:color="auto" w:fill="auto"/>
          </w:tcPr>
          <w:p w:rsidR="00DA3484" w:rsidRDefault="00DA3484" w:rsidP="004A073E">
            <w:r>
              <w:t>The installation of subsea structures (and long-term surface vessel moorings if appropriate) may attract additional fish species to the area.  The fishing exclusion zone will limit the level of commercial fishing in the area allowing populations to recover.</w:t>
            </w:r>
          </w:p>
          <w:p w:rsidR="00DA3484" w:rsidRPr="006A7D9C" w:rsidRDefault="00DA3484" w:rsidP="004A073E">
            <w:r>
              <w:t xml:space="preserve">Mineral processing plants onshore may lead to increased levels of local employment .  Infrastructure supporting the offshore and onshore operations may attract additional investments.  </w:t>
            </w:r>
          </w:p>
        </w:tc>
        <w:tc>
          <w:tcPr>
            <w:tcW w:w="1600" w:type="pct"/>
            <w:shd w:val="clear" w:color="auto" w:fill="auto"/>
          </w:tcPr>
          <w:p w:rsidR="00DA3484" w:rsidRDefault="00DA3484" w:rsidP="00DA3484">
            <w:r w:rsidRPr="00950F86">
              <w:rPr>
                <w:u w:val="single"/>
              </w:rPr>
              <w:t xml:space="preserve">Potential </w:t>
            </w:r>
            <w:r>
              <w:rPr>
                <w:u w:val="single"/>
              </w:rPr>
              <w:t>enhancement</w:t>
            </w:r>
            <w:r w:rsidRPr="00950F86">
              <w:rPr>
                <w:u w:val="single"/>
              </w:rPr>
              <w:t xml:space="preserve"> measures</w:t>
            </w:r>
            <w:r>
              <w:t xml:space="preserve"> </w:t>
            </w:r>
          </w:p>
          <w:p w:rsidR="00DA3484" w:rsidRDefault="00DA3484" w:rsidP="00DA3484">
            <w:pPr>
              <w:pStyle w:val="Bullet1"/>
            </w:pPr>
            <w:r>
              <w:t>Encourage and publicise opportunities for local involvement with shore operations</w:t>
            </w:r>
          </w:p>
          <w:p w:rsidR="00DA3484" w:rsidRPr="00950F86" w:rsidRDefault="00DA3484" w:rsidP="00DA3484">
            <w:pPr>
              <w:pStyle w:val="Bullet1"/>
            </w:pPr>
            <w:r>
              <w:t>Provide a clear CSR policy to manage expectations and to provide information on what the company is doing</w:t>
            </w:r>
          </w:p>
        </w:tc>
      </w:tr>
      <w:tr w:rsidR="00777E59" w:rsidRPr="00162D9E" w:rsidTr="00685C40">
        <w:trPr>
          <w:cnfStyle w:val="000000010000" w:firstRow="0" w:lastRow="0" w:firstColumn="0" w:lastColumn="0" w:oddVBand="0" w:evenVBand="0" w:oddHBand="0" w:evenHBand="1" w:firstRowFirstColumn="0" w:firstRowLastColumn="0" w:lastRowFirstColumn="0" w:lastRowLastColumn="0"/>
        </w:trPr>
        <w:tc>
          <w:tcPr>
            <w:tcW w:w="433" w:type="pct"/>
            <w:vMerge w:val="restart"/>
            <w:shd w:val="clear" w:color="auto" w:fill="auto"/>
          </w:tcPr>
          <w:p w:rsidR="00777E59" w:rsidRPr="00A717A6" w:rsidRDefault="00777E59" w:rsidP="00A717A6">
            <w:r w:rsidRPr="00A717A6">
              <w:t>Physical presence (surface)</w:t>
            </w:r>
          </w:p>
        </w:tc>
        <w:tc>
          <w:tcPr>
            <w:tcW w:w="767" w:type="pct"/>
            <w:vMerge w:val="restart"/>
            <w:shd w:val="clear" w:color="auto" w:fill="auto"/>
          </w:tcPr>
          <w:p w:rsidR="00777E59" w:rsidRPr="00A717A6" w:rsidRDefault="00777E59" w:rsidP="006E5FA1">
            <w:r>
              <w:t xml:space="preserve">The MSV and support vessels may present a navigation obstacle to other sea users.  This may include international shipping vessels, commercial fishing vessels and marine activity associated with the offshore oil and gas industry.  </w:t>
            </w:r>
          </w:p>
        </w:tc>
        <w:tc>
          <w:tcPr>
            <w:tcW w:w="600" w:type="pct"/>
            <w:shd w:val="clear" w:color="auto" w:fill="auto"/>
          </w:tcPr>
          <w:p w:rsidR="00777E59" w:rsidRPr="00162D9E" w:rsidRDefault="00777E59" w:rsidP="006A7D9C">
            <w:pPr>
              <w:pStyle w:val="TableBullet1"/>
              <w:spacing w:before="120"/>
            </w:pPr>
            <w:r>
              <w:t>Interaction with commercial fisheries</w:t>
            </w:r>
          </w:p>
        </w:tc>
        <w:tc>
          <w:tcPr>
            <w:tcW w:w="1600" w:type="pct"/>
            <w:shd w:val="clear" w:color="auto" w:fill="auto"/>
          </w:tcPr>
          <w:p w:rsidR="00777E59" w:rsidRPr="006A7D9C" w:rsidRDefault="00777E59" w:rsidP="00333C6C">
            <w:r w:rsidRPr="006A7D9C">
              <w:t xml:space="preserve">Interference with commercial fishing vessels may occur, and the mining operations may cause temporary, limited disruption and displacement of some commercial fishing operations (if there are any operating within the region). </w:t>
            </w:r>
          </w:p>
        </w:tc>
        <w:tc>
          <w:tcPr>
            <w:tcW w:w="1600" w:type="pct"/>
            <w:shd w:val="clear" w:color="auto" w:fill="auto"/>
          </w:tcPr>
          <w:p w:rsidR="00FA636B" w:rsidRDefault="00FA636B" w:rsidP="00FA636B">
            <w:r w:rsidRPr="00950F86">
              <w:rPr>
                <w:u w:val="single"/>
              </w:rPr>
              <w:t>Potential mitigation measures</w:t>
            </w:r>
            <w:r>
              <w:t xml:space="preserve"> </w:t>
            </w:r>
          </w:p>
          <w:p w:rsidR="00777E59" w:rsidRPr="006A7D9C" w:rsidRDefault="00B351A9" w:rsidP="00DA3484">
            <w:pPr>
              <w:pStyle w:val="Bullet1"/>
            </w:pPr>
            <w:r>
              <w:t>In areas where there is either a heavy commercial fishing presence, or where mining and commercial fishery interests overlap, the project proponent should consider the appointment of a Fisheries Liaison Officer (FLO).  The FLO would be responsible for providing information to local fishermen groups and organisations.</w:t>
            </w:r>
          </w:p>
        </w:tc>
      </w:tr>
      <w:tr w:rsidR="00777E59" w:rsidRPr="00162D9E" w:rsidTr="00685C40">
        <w:trPr>
          <w:cnfStyle w:val="000000100000" w:firstRow="0" w:lastRow="0" w:firstColumn="0" w:lastColumn="0" w:oddVBand="0" w:evenVBand="0" w:oddHBand="1" w:evenHBand="0" w:firstRowFirstColumn="0" w:firstRowLastColumn="0" w:lastRowFirstColumn="0" w:lastRowLastColumn="0"/>
        </w:trPr>
        <w:tc>
          <w:tcPr>
            <w:tcW w:w="433" w:type="pct"/>
            <w:vMerge/>
            <w:shd w:val="clear" w:color="auto" w:fill="auto"/>
          </w:tcPr>
          <w:p w:rsidR="00777E59" w:rsidRPr="00A717A6" w:rsidRDefault="00777E59" w:rsidP="00A717A6"/>
        </w:tc>
        <w:tc>
          <w:tcPr>
            <w:tcW w:w="767" w:type="pct"/>
            <w:vMerge/>
            <w:shd w:val="clear" w:color="auto" w:fill="auto"/>
          </w:tcPr>
          <w:p w:rsidR="00777E59" w:rsidRPr="00A717A6" w:rsidRDefault="00777E59" w:rsidP="00A717A6"/>
        </w:tc>
        <w:tc>
          <w:tcPr>
            <w:tcW w:w="600" w:type="pct"/>
            <w:shd w:val="clear" w:color="auto" w:fill="auto"/>
          </w:tcPr>
          <w:p w:rsidR="00777E59" w:rsidRPr="00162D9E" w:rsidRDefault="00777E59" w:rsidP="006A7D9C">
            <w:pPr>
              <w:pStyle w:val="TableBullet1"/>
              <w:spacing w:before="120"/>
            </w:pPr>
            <w:r>
              <w:t>Hazard to navigation</w:t>
            </w:r>
          </w:p>
        </w:tc>
        <w:tc>
          <w:tcPr>
            <w:tcW w:w="1600" w:type="pct"/>
            <w:shd w:val="clear" w:color="auto" w:fill="auto"/>
          </w:tcPr>
          <w:p w:rsidR="00777E59" w:rsidRDefault="00777E59" w:rsidP="006A7D9C">
            <w:r>
              <w:t xml:space="preserve">The MSV </w:t>
            </w:r>
            <w:r w:rsidRPr="006A7D9C">
              <w:t>will</w:t>
            </w:r>
            <w:r>
              <w:t xml:space="preserve"> be constrained in its ability to manoeuvre and other sea users will need to accommodate the MSV in their passage plans.  Risks may include: </w:t>
            </w:r>
          </w:p>
          <w:p w:rsidR="00777E59" w:rsidRDefault="00777E59" w:rsidP="00970532">
            <w:pPr>
              <w:pStyle w:val="TableBullet1"/>
            </w:pPr>
            <w:r>
              <w:t>Vessel collisions or damage to project assets; and</w:t>
            </w:r>
          </w:p>
          <w:p w:rsidR="00777E59" w:rsidRPr="00162D9E" w:rsidRDefault="00777E59" w:rsidP="006E5FA1">
            <w:pPr>
              <w:pStyle w:val="TableBullet1"/>
            </w:pPr>
            <w:r>
              <w:t>Vessel collisions or damage leading to a release of stored mineral ores or chemicals.</w:t>
            </w:r>
          </w:p>
        </w:tc>
        <w:tc>
          <w:tcPr>
            <w:tcW w:w="1600" w:type="pct"/>
            <w:shd w:val="clear" w:color="auto" w:fill="auto"/>
          </w:tcPr>
          <w:p w:rsidR="00FA636B" w:rsidRDefault="00FA636B" w:rsidP="00B351A9">
            <w:r w:rsidRPr="00950F86">
              <w:rPr>
                <w:u w:val="single"/>
              </w:rPr>
              <w:t>Potential mitigation measures</w:t>
            </w:r>
            <w:r>
              <w:t xml:space="preserve"> </w:t>
            </w:r>
          </w:p>
          <w:p w:rsidR="00B351A9" w:rsidRDefault="0067489E" w:rsidP="00B351A9">
            <w:r>
              <w:t xml:space="preserve">In order to ensure the safety of project personnel and other marine users, the following </w:t>
            </w:r>
            <w:r w:rsidR="00B351A9">
              <w:t xml:space="preserve">mitigation measures </w:t>
            </w:r>
            <w:r>
              <w:t>should be considered</w:t>
            </w:r>
            <w:r w:rsidR="00B351A9">
              <w:t>:</w:t>
            </w:r>
          </w:p>
          <w:p w:rsidR="00B351A9" w:rsidRDefault="00B351A9" w:rsidP="00FA636B">
            <w:pPr>
              <w:pStyle w:val="Bullet1"/>
            </w:pPr>
            <w:r>
              <w:t>Establishing an exclusion zone around the MSV to prohibit unauthorised vessels from approaching;</w:t>
            </w:r>
          </w:p>
          <w:p w:rsidR="00B351A9" w:rsidRDefault="00B351A9" w:rsidP="00FA636B">
            <w:pPr>
              <w:pStyle w:val="Bullet1"/>
            </w:pPr>
            <w:r w:rsidRPr="00031D0E">
              <w:t xml:space="preserve">All vessels </w:t>
            </w:r>
            <w:r>
              <w:t xml:space="preserve">associated with the project should </w:t>
            </w:r>
            <w:r w:rsidRPr="00031D0E">
              <w:t>meet national and international regulations for shipping including the appropriate signals and lights</w:t>
            </w:r>
            <w:r>
              <w:t xml:space="preserve"> as </w:t>
            </w:r>
            <w:r w:rsidRPr="00031D0E">
              <w:t>defined by the International Maritime Organisation (IMO) and Convention on the International Regulations for Preventing Collisions at Sea, 1972 (COLREGs)</w:t>
            </w:r>
            <w:r>
              <w:t>;</w:t>
            </w:r>
          </w:p>
          <w:p w:rsidR="00B351A9" w:rsidRDefault="00B351A9" w:rsidP="00FA636B">
            <w:pPr>
              <w:pStyle w:val="Bullet1"/>
            </w:pPr>
            <w:r>
              <w:t>Communication equipment (e.g. VHF radio) should be used to contact approaching vessels; and</w:t>
            </w:r>
          </w:p>
          <w:p w:rsidR="00777E59" w:rsidRDefault="00B351A9" w:rsidP="00FA636B">
            <w:pPr>
              <w:pStyle w:val="Bullet1"/>
            </w:pPr>
            <w:r>
              <w:t>A dedicated guard vessel may be required in some areas</w:t>
            </w:r>
          </w:p>
        </w:tc>
      </w:tr>
      <w:tr w:rsidR="0067489E" w:rsidRPr="00162D9E" w:rsidTr="00685C40">
        <w:trPr>
          <w:cnfStyle w:val="000000010000" w:firstRow="0" w:lastRow="0" w:firstColumn="0" w:lastColumn="0" w:oddVBand="0" w:evenVBand="0" w:oddHBand="0" w:evenHBand="1" w:firstRowFirstColumn="0" w:firstRowLastColumn="0" w:lastRowFirstColumn="0" w:lastRowLastColumn="0"/>
        </w:trPr>
        <w:tc>
          <w:tcPr>
            <w:tcW w:w="433" w:type="pct"/>
            <w:vMerge w:val="restart"/>
            <w:shd w:val="clear" w:color="auto" w:fill="auto"/>
          </w:tcPr>
          <w:p w:rsidR="0067489E" w:rsidRPr="00A717A6" w:rsidRDefault="0067489E" w:rsidP="00A717A6">
            <w:r>
              <w:t>Riser And Lifting System (RALS)</w:t>
            </w:r>
          </w:p>
        </w:tc>
        <w:tc>
          <w:tcPr>
            <w:tcW w:w="767" w:type="pct"/>
            <w:vMerge w:val="restart"/>
            <w:shd w:val="clear" w:color="auto" w:fill="auto"/>
          </w:tcPr>
          <w:p w:rsidR="0067489E" w:rsidRDefault="0067489E" w:rsidP="006A7D9C">
            <w:r w:rsidRPr="00902267">
              <w:t xml:space="preserve">In order to transport the mined ore from the seabed to the surface, </w:t>
            </w:r>
            <w:r w:rsidRPr="00902267">
              <w:lastRenderedPageBreak/>
              <w:t xml:space="preserve">the operations </w:t>
            </w:r>
            <w:r>
              <w:t>may</w:t>
            </w:r>
            <w:r w:rsidRPr="00902267">
              <w:t xml:space="preserve"> utilise a set of riser and fall pipes in the water column</w:t>
            </w:r>
            <w:r>
              <w:t>.  Riser pipes are</w:t>
            </w:r>
            <w:r w:rsidRPr="00902267">
              <w:t xml:space="preserve"> </w:t>
            </w:r>
            <w:r>
              <w:t xml:space="preserve">used </w:t>
            </w:r>
            <w:r w:rsidRPr="00902267">
              <w:t xml:space="preserve">to transport the </w:t>
            </w:r>
            <w:r w:rsidR="00F838E1">
              <w:t>recovered material to the surface</w:t>
            </w:r>
            <w:r>
              <w:t>, and fall pipes used to d</w:t>
            </w:r>
            <w:r w:rsidRPr="00902267">
              <w:t>ischarge</w:t>
            </w:r>
            <w:r>
              <w:t xml:space="preserve"> excess material (</w:t>
            </w:r>
            <w:r w:rsidRPr="00902267">
              <w:t>sediment and water</w:t>
            </w:r>
            <w:r>
              <w:t>)</w:t>
            </w:r>
            <w:r w:rsidRPr="00902267">
              <w:t xml:space="preserve"> to the seafloor.</w:t>
            </w:r>
          </w:p>
          <w:p w:rsidR="0067489E" w:rsidRPr="00A717A6" w:rsidRDefault="0067489E" w:rsidP="00360DC5"/>
        </w:tc>
        <w:tc>
          <w:tcPr>
            <w:tcW w:w="600" w:type="pct"/>
            <w:shd w:val="clear" w:color="auto" w:fill="auto"/>
          </w:tcPr>
          <w:p w:rsidR="0067489E" w:rsidRPr="0067489E" w:rsidRDefault="0067489E" w:rsidP="0067489E">
            <w:pPr>
              <w:pStyle w:val="TableBullet1"/>
              <w:spacing w:before="120"/>
            </w:pPr>
            <w:r>
              <w:lastRenderedPageBreak/>
              <w:t>Thermal discharges</w:t>
            </w:r>
          </w:p>
        </w:tc>
        <w:tc>
          <w:tcPr>
            <w:tcW w:w="1600" w:type="pct"/>
            <w:shd w:val="clear" w:color="auto" w:fill="auto"/>
          </w:tcPr>
          <w:p w:rsidR="0067489E" w:rsidRDefault="0067489E" w:rsidP="006A7D9C">
            <w:r>
              <w:t xml:space="preserve">Thermal discharge impacts:  There are two issues relating to thermal impacts as detailed </w:t>
            </w:r>
            <w:r w:rsidRPr="006A7D9C">
              <w:t>below</w:t>
            </w:r>
            <w:r>
              <w:t>:</w:t>
            </w:r>
          </w:p>
          <w:p w:rsidR="0067489E" w:rsidRDefault="0067489E" w:rsidP="00FF7353">
            <w:pPr>
              <w:pStyle w:val="TableBullet1"/>
            </w:pPr>
            <w:r>
              <w:lastRenderedPageBreak/>
              <w:t xml:space="preserve">Discharge of ocean bottom water at the surface </w:t>
            </w:r>
            <w:r w:rsidR="00FA636B">
              <w:t>as part of the dewatering process</w:t>
            </w:r>
            <w:r>
              <w:t xml:space="preserve">: As material is transferred up the riser pipe, it will be transported suspended in ocean bottom water.  Ocean bottom water is typically dense, cold and nutrient rich. </w:t>
            </w:r>
            <w:r w:rsidR="00FA636B">
              <w:t xml:space="preserve">This may lead to an increased </w:t>
            </w:r>
            <w:r>
              <w:t xml:space="preserve">a risk of algal blooms resulting from the sudden increase in nutrient levels in offshore surface waters, which are typically nutrient limited (Chen, 2007).  </w:t>
            </w:r>
          </w:p>
          <w:p w:rsidR="0067489E" w:rsidRPr="00162D9E" w:rsidRDefault="0067489E" w:rsidP="00FF7353">
            <w:pPr>
              <w:pStyle w:val="TableBullet1"/>
            </w:pPr>
            <w:r>
              <w:t xml:space="preserve">Discharge of processed water at the seabed:  Fall pipes may </w:t>
            </w:r>
            <w:r w:rsidR="00FA636B">
              <w:t xml:space="preserve">be used to </w:t>
            </w:r>
            <w:r>
              <w:t xml:space="preserve">discharge </w:t>
            </w:r>
            <w:r w:rsidR="00FA636B">
              <w:t>de</w:t>
            </w:r>
            <w:r>
              <w:t>water</w:t>
            </w:r>
            <w:r w:rsidR="00FA636B">
              <w:t>ing fluid</w:t>
            </w:r>
            <w:r>
              <w:t xml:space="preserve"> near the seabed.  The discharged water will transport heat, dissolved materials, and waters containing dissolved oxygen to the near-seabed </w:t>
            </w:r>
            <w:r w:rsidR="0036422F">
              <w:t>environment</w:t>
            </w:r>
            <w:r>
              <w:t xml:space="preserve">.  The discharge water will alter the seabed environmental conditions leading to either a shift in ecosystem composition </w:t>
            </w:r>
            <w:r w:rsidR="00FA636B">
              <w:t xml:space="preserve">and / </w:t>
            </w:r>
            <w:r>
              <w:t>or a potential increase in benthic biomass in the vicinity of the fall pipes.</w:t>
            </w:r>
          </w:p>
        </w:tc>
        <w:tc>
          <w:tcPr>
            <w:tcW w:w="1600" w:type="pct"/>
            <w:shd w:val="clear" w:color="auto" w:fill="auto"/>
          </w:tcPr>
          <w:p w:rsidR="0067489E" w:rsidRPr="00FF7353" w:rsidRDefault="00FA636B">
            <w:pPr>
              <w:rPr>
                <w:u w:val="single"/>
              </w:rPr>
            </w:pPr>
            <w:r w:rsidRPr="00FF7353">
              <w:rPr>
                <w:u w:val="single"/>
              </w:rPr>
              <w:lastRenderedPageBreak/>
              <w:t>Potential mitigation measures</w:t>
            </w:r>
          </w:p>
          <w:p w:rsidR="00FA636B" w:rsidRDefault="00FA636B" w:rsidP="00FF7353">
            <w:pPr>
              <w:pStyle w:val="Bullet1"/>
            </w:pPr>
            <w:r>
              <w:t xml:space="preserve">Reduce the volume of ocean bottom water discharged at the surface </w:t>
            </w:r>
            <w:r>
              <w:lastRenderedPageBreak/>
              <w:t>as far as reasonably practicable</w:t>
            </w:r>
            <w:r w:rsidR="0036422F">
              <w:t xml:space="preserve">.  </w:t>
            </w:r>
          </w:p>
          <w:p w:rsidR="0036422F" w:rsidRDefault="0036422F" w:rsidP="005E6B12">
            <w:pPr>
              <w:pStyle w:val="Bullet1"/>
            </w:pPr>
            <w:r>
              <w:t>Where possible, retur</w:t>
            </w:r>
            <w:r w:rsidR="00FF3237">
              <w:t>n</w:t>
            </w:r>
            <w:r>
              <w:t xml:space="preserve"> </w:t>
            </w:r>
            <w:r w:rsidR="005E6B12">
              <w:t xml:space="preserve">of </w:t>
            </w:r>
            <w:r>
              <w:t>dewatering fluid via the RALS to the seabed</w:t>
            </w:r>
            <w:r w:rsidR="005E6B12">
              <w:t xml:space="preserve"> may be preferable (depending on the nature of the seabed)</w:t>
            </w:r>
            <w:r>
              <w:t>.</w:t>
            </w:r>
          </w:p>
        </w:tc>
      </w:tr>
      <w:tr w:rsidR="00FA636B" w:rsidRPr="00162D9E" w:rsidTr="00685C40">
        <w:trPr>
          <w:cnfStyle w:val="000000100000" w:firstRow="0" w:lastRow="0" w:firstColumn="0" w:lastColumn="0" w:oddVBand="0" w:evenVBand="0" w:oddHBand="1" w:evenHBand="0" w:firstRowFirstColumn="0" w:firstRowLastColumn="0" w:lastRowFirstColumn="0" w:lastRowLastColumn="0"/>
        </w:trPr>
        <w:tc>
          <w:tcPr>
            <w:tcW w:w="433" w:type="pct"/>
            <w:vMerge/>
            <w:shd w:val="clear" w:color="auto" w:fill="auto"/>
          </w:tcPr>
          <w:p w:rsidR="00FA636B" w:rsidRPr="00A717A6" w:rsidRDefault="00FA636B" w:rsidP="00A717A6"/>
        </w:tc>
        <w:tc>
          <w:tcPr>
            <w:tcW w:w="767" w:type="pct"/>
            <w:vMerge/>
            <w:shd w:val="clear" w:color="auto" w:fill="auto"/>
          </w:tcPr>
          <w:p w:rsidR="00FA636B" w:rsidRPr="00A717A6" w:rsidRDefault="00FA636B" w:rsidP="00A717A6"/>
        </w:tc>
        <w:tc>
          <w:tcPr>
            <w:tcW w:w="600" w:type="pct"/>
            <w:shd w:val="clear" w:color="auto" w:fill="auto"/>
          </w:tcPr>
          <w:p w:rsidR="00FA636B" w:rsidRPr="00162D9E" w:rsidRDefault="00FA636B" w:rsidP="006A7D9C">
            <w:pPr>
              <w:pStyle w:val="TableBullet1"/>
              <w:spacing w:before="120"/>
            </w:pPr>
            <w:r>
              <w:t>Frictional heating</w:t>
            </w:r>
          </w:p>
        </w:tc>
        <w:tc>
          <w:tcPr>
            <w:tcW w:w="1600" w:type="pct"/>
            <w:shd w:val="clear" w:color="auto" w:fill="auto"/>
          </w:tcPr>
          <w:p w:rsidR="0036422F" w:rsidRDefault="00FA636B" w:rsidP="00FF7353">
            <w:r w:rsidRPr="006A7D9C">
              <w:t xml:space="preserve">As the dredged </w:t>
            </w:r>
            <w:r>
              <w:t xml:space="preserve">/ mined </w:t>
            </w:r>
            <w:r w:rsidRPr="006A7D9C">
              <w:t xml:space="preserve">material is transferred through </w:t>
            </w:r>
            <w:r>
              <w:t>the pipes</w:t>
            </w:r>
            <w:r w:rsidRPr="006A7D9C">
              <w:t xml:space="preserve">, the friction between the lifting </w:t>
            </w:r>
            <w:r>
              <w:t xml:space="preserve">(or falling) </w:t>
            </w:r>
            <w:r w:rsidRPr="006A7D9C">
              <w:t>fluid containing the suspended sediment matter and the riser pipe will generate heat</w:t>
            </w:r>
            <w:r>
              <w:t xml:space="preserve">.  This </w:t>
            </w:r>
            <w:r w:rsidRPr="006A7D9C">
              <w:t xml:space="preserve">may </w:t>
            </w:r>
            <w:r>
              <w:t xml:space="preserve">lead to </w:t>
            </w:r>
            <w:r w:rsidRPr="006A7D9C">
              <w:t>an associated rise in temperature of the surrounding water due to heat transfer</w:t>
            </w:r>
            <w:r w:rsidR="0036422F">
              <w:t xml:space="preserve"> </w:t>
            </w:r>
          </w:p>
          <w:p w:rsidR="0036422F" w:rsidRDefault="0036422F" w:rsidP="00FF7353">
            <w:pPr>
              <w:pStyle w:val="TableBullet1"/>
            </w:pPr>
            <w:r>
              <w:t>The increased thermal output from the pipes may also lead to increased rates of marine growth colonisation, which will lead to increased biodiversity.</w:t>
            </w:r>
          </w:p>
          <w:p w:rsidR="00FA636B" w:rsidRPr="006A7D9C" w:rsidRDefault="0036422F" w:rsidP="00FF7353">
            <w:pPr>
              <w:pStyle w:val="TableBullet1"/>
            </w:pPr>
            <w:r>
              <w:t xml:space="preserve">The increased water temperature in the immediate vicinity of the RALS, and the potential increase in marine growth (food source) may cause pelagic fish species to aggregate near the RALS.  </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36422F" w:rsidRDefault="0036422F" w:rsidP="00FF7353">
            <w:pPr>
              <w:pStyle w:val="Bullet1"/>
            </w:pPr>
            <w:r>
              <w:t>Periodic cleaning / de-fouling of the RALS may be required</w:t>
            </w:r>
            <w:r w:rsidR="00BB0136">
              <w:t xml:space="preserve"> to ensure that the rate of thermal dissipation remains within design tolerances</w:t>
            </w:r>
            <w:r>
              <w:t>.</w:t>
            </w:r>
          </w:p>
          <w:p w:rsidR="0036422F" w:rsidRPr="00FF7353" w:rsidRDefault="0036422F" w:rsidP="00FF7353">
            <w:pPr>
              <w:pStyle w:val="Bullet1"/>
            </w:pPr>
            <w:r>
              <w:t>Water / slurry mix to be optimised so as to reduce friction generated during transit through the RALS.</w:t>
            </w:r>
          </w:p>
        </w:tc>
      </w:tr>
      <w:tr w:rsidR="00FA636B" w:rsidRPr="00162D9E" w:rsidTr="00685C40">
        <w:trPr>
          <w:cnfStyle w:val="000000010000" w:firstRow="0" w:lastRow="0" w:firstColumn="0" w:lastColumn="0" w:oddVBand="0" w:evenVBand="0" w:oddHBand="0" w:evenHBand="1" w:firstRowFirstColumn="0" w:firstRowLastColumn="0" w:lastRowFirstColumn="0" w:lastRowLastColumn="0"/>
        </w:trPr>
        <w:tc>
          <w:tcPr>
            <w:tcW w:w="433" w:type="pct"/>
            <w:vMerge/>
            <w:shd w:val="clear" w:color="auto" w:fill="auto"/>
          </w:tcPr>
          <w:p w:rsidR="00FA636B" w:rsidRPr="00A717A6" w:rsidRDefault="00FA636B" w:rsidP="00A717A6"/>
        </w:tc>
        <w:tc>
          <w:tcPr>
            <w:tcW w:w="767" w:type="pct"/>
            <w:vMerge/>
            <w:shd w:val="clear" w:color="auto" w:fill="auto"/>
          </w:tcPr>
          <w:p w:rsidR="00FA636B" w:rsidRPr="00A717A6" w:rsidRDefault="00FA636B" w:rsidP="00A717A6"/>
        </w:tc>
        <w:tc>
          <w:tcPr>
            <w:tcW w:w="600" w:type="pct"/>
            <w:shd w:val="clear" w:color="auto" w:fill="auto"/>
          </w:tcPr>
          <w:p w:rsidR="00FA636B" w:rsidRPr="00162D9E" w:rsidRDefault="00FA636B" w:rsidP="006A7D9C">
            <w:pPr>
              <w:pStyle w:val="TableBullet1"/>
              <w:spacing w:before="120"/>
            </w:pPr>
            <w:r>
              <w:t>Sound</w:t>
            </w:r>
          </w:p>
        </w:tc>
        <w:tc>
          <w:tcPr>
            <w:tcW w:w="1600" w:type="pct"/>
            <w:shd w:val="clear" w:color="auto" w:fill="auto"/>
          </w:tcPr>
          <w:p w:rsidR="00FA636B" w:rsidRDefault="00FA636B" w:rsidP="006A7D9C">
            <w:r w:rsidRPr="006A7D9C">
              <w:t xml:space="preserve">The movement of rock and particulates travelling up the riser pipe may generate low levels of </w:t>
            </w:r>
            <w:r>
              <w:t>sound</w:t>
            </w:r>
            <w:r w:rsidRPr="006A7D9C">
              <w:t xml:space="preserve">.  However due to the design of the pipes, the </w:t>
            </w:r>
            <w:r>
              <w:t>sound</w:t>
            </w:r>
            <w:r w:rsidRPr="006A7D9C">
              <w:t xml:space="preserve"> levels emitted are likely to be low.  If the lifting pump is installed on the seabed, this is likely to generate a significant level of </w:t>
            </w:r>
            <w:r>
              <w:t>sound.</w:t>
            </w:r>
          </w:p>
          <w:p w:rsidR="00FA636B" w:rsidRPr="006A7D9C" w:rsidRDefault="00FA636B" w:rsidP="006A7D9C">
            <w:r>
              <w:t>Further information on acoustic aspects can be found associated with the surface vessels.</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FA636B" w:rsidRDefault="0036422F" w:rsidP="00FF7353">
            <w:pPr>
              <w:pStyle w:val="Bullet1"/>
            </w:pPr>
            <w:r>
              <w:t>Seabed lifting pump to be deactivated when not in use</w:t>
            </w:r>
          </w:p>
          <w:p w:rsidR="0036422F" w:rsidRPr="006A7D9C" w:rsidRDefault="0036422F" w:rsidP="00FF7353">
            <w:pPr>
              <w:pStyle w:val="Bullet1"/>
            </w:pPr>
            <w:r>
              <w:t>Water / slurry mix to be optimised so as to reduce noise generated by the transit through the RALS.</w:t>
            </w:r>
          </w:p>
        </w:tc>
      </w:tr>
      <w:tr w:rsidR="00FA636B" w:rsidRPr="00162D9E" w:rsidTr="00685C40">
        <w:trPr>
          <w:cnfStyle w:val="000000100000" w:firstRow="0" w:lastRow="0" w:firstColumn="0" w:lastColumn="0" w:oddVBand="0" w:evenVBand="0" w:oddHBand="1" w:evenHBand="0" w:firstRowFirstColumn="0" w:firstRowLastColumn="0" w:lastRowFirstColumn="0" w:lastRowLastColumn="0"/>
        </w:trPr>
        <w:tc>
          <w:tcPr>
            <w:tcW w:w="433" w:type="pct"/>
            <w:vMerge/>
            <w:shd w:val="clear" w:color="auto" w:fill="auto"/>
          </w:tcPr>
          <w:p w:rsidR="00FA636B" w:rsidRPr="00A717A6" w:rsidRDefault="00FA636B" w:rsidP="00A717A6"/>
        </w:tc>
        <w:tc>
          <w:tcPr>
            <w:tcW w:w="767" w:type="pct"/>
            <w:vMerge/>
            <w:shd w:val="clear" w:color="auto" w:fill="auto"/>
          </w:tcPr>
          <w:p w:rsidR="00FA636B" w:rsidRPr="00A717A6" w:rsidRDefault="00FA636B" w:rsidP="00A717A6"/>
        </w:tc>
        <w:tc>
          <w:tcPr>
            <w:tcW w:w="600" w:type="pct"/>
            <w:shd w:val="clear" w:color="auto" w:fill="auto"/>
          </w:tcPr>
          <w:p w:rsidR="00FA636B" w:rsidRPr="00162D9E" w:rsidRDefault="00FA636B" w:rsidP="006A7D9C">
            <w:pPr>
              <w:pStyle w:val="TableBullet1"/>
              <w:spacing w:before="120"/>
            </w:pPr>
            <w:r>
              <w:t>Physical presence</w:t>
            </w:r>
          </w:p>
        </w:tc>
        <w:tc>
          <w:tcPr>
            <w:tcW w:w="1600" w:type="pct"/>
            <w:shd w:val="clear" w:color="auto" w:fill="auto"/>
          </w:tcPr>
          <w:p w:rsidR="00FA636B" w:rsidRPr="006A7D9C" w:rsidRDefault="00FA636B">
            <w:r w:rsidRPr="006A7D9C">
              <w:t xml:space="preserve">The pipes may act to provide a hard surface for colonisation.  This should be considered a positive impact, as it will increase the levels of mid-water larvae and pelagic species.  Organisms that colonise the pipes may contribute to the biodiversity in the area as an additional source of nutrients.  </w:t>
            </w:r>
          </w:p>
        </w:tc>
        <w:tc>
          <w:tcPr>
            <w:tcW w:w="1600" w:type="pct"/>
            <w:shd w:val="clear" w:color="auto" w:fill="auto"/>
          </w:tcPr>
          <w:p w:rsidR="00FA636B" w:rsidRPr="00950F86" w:rsidRDefault="00FA636B" w:rsidP="00BB0136">
            <w:pPr>
              <w:rPr>
                <w:u w:val="single"/>
              </w:rPr>
            </w:pPr>
            <w:r w:rsidRPr="00950F86">
              <w:rPr>
                <w:u w:val="single"/>
              </w:rPr>
              <w:t xml:space="preserve">Potential </w:t>
            </w:r>
            <w:r w:rsidR="00BB0136">
              <w:rPr>
                <w:u w:val="single"/>
              </w:rPr>
              <w:t xml:space="preserve">enhancement </w:t>
            </w:r>
            <w:r w:rsidRPr="00950F86">
              <w:rPr>
                <w:u w:val="single"/>
              </w:rPr>
              <w:t>measures</w:t>
            </w:r>
          </w:p>
          <w:p w:rsidR="00BB0136" w:rsidRDefault="00BB0136" w:rsidP="00BB0136">
            <w:pPr>
              <w:pStyle w:val="Bullet1"/>
            </w:pPr>
            <w:r>
              <w:t>Marine growth levels should be monitored to ensure that they do not cause the RALS to exceed its design specifications in terms of weight or thermal dissipation.</w:t>
            </w:r>
          </w:p>
          <w:p w:rsidR="00BB0136" w:rsidRPr="006A7D9C" w:rsidRDefault="00BB0136" w:rsidP="00FF7353">
            <w:pPr>
              <w:pStyle w:val="Bullet1"/>
            </w:pPr>
            <w:r>
              <w:t>Periodic cleaning / de-fouling operations may be required to limit the additional weight on the RALS.</w:t>
            </w:r>
          </w:p>
        </w:tc>
      </w:tr>
      <w:tr w:rsidR="00FA636B" w:rsidRPr="00162D9E" w:rsidTr="00685C40">
        <w:trPr>
          <w:cnfStyle w:val="000000010000" w:firstRow="0" w:lastRow="0" w:firstColumn="0" w:lastColumn="0" w:oddVBand="0" w:evenVBand="0" w:oddHBand="0" w:evenHBand="1" w:firstRowFirstColumn="0" w:firstRowLastColumn="0" w:lastRowFirstColumn="0" w:lastRowLastColumn="0"/>
        </w:trPr>
        <w:tc>
          <w:tcPr>
            <w:tcW w:w="433" w:type="pct"/>
            <w:vMerge/>
            <w:shd w:val="clear" w:color="auto" w:fill="auto"/>
          </w:tcPr>
          <w:p w:rsidR="00FA636B" w:rsidRPr="00A717A6" w:rsidRDefault="00FA636B" w:rsidP="00A717A6"/>
        </w:tc>
        <w:tc>
          <w:tcPr>
            <w:tcW w:w="767" w:type="pct"/>
            <w:vMerge/>
            <w:shd w:val="clear" w:color="auto" w:fill="auto"/>
          </w:tcPr>
          <w:p w:rsidR="00FA636B" w:rsidRPr="00A717A6" w:rsidRDefault="00FA636B" w:rsidP="00A717A6"/>
        </w:tc>
        <w:tc>
          <w:tcPr>
            <w:tcW w:w="600" w:type="pct"/>
            <w:shd w:val="clear" w:color="auto" w:fill="auto"/>
          </w:tcPr>
          <w:p w:rsidR="00FA636B" w:rsidRPr="00162D9E" w:rsidRDefault="00FA636B" w:rsidP="006A7D9C">
            <w:pPr>
              <w:pStyle w:val="TableBullet1"/>
              <w:spacing w:before="120"/>
            </w:pPr>
            <w:r>
              <w:t>Fish aggregation</w:t>
            </w:r>
          </w:p>
        </w:tc>
        <w:tc>
          <w:tcPr>
            <w:tcW w:w="1600" w:type="pct"/>
            <w:shd w:val="clear" w:color="auto" w:fill="auto"/>
          </w:tcPr>
          <w:p w:rsidR="00FA636B" w:rsidRPr="006A7D9C" w:rsidRDefault="00FA636B" w:rsidP="006A7D9C">
            <w:r w:rsidRPr="006A7D9C">
              <w:t>The riser pipe could act as a fish aggregation device, where several species of fish may congregate to take advantage of the increased water temperature, additional shelter and food from any biological growth on the riser</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BB0136" w:rsidRDefault="00BB0136" w:rsidP="00BB0136">
            <w:pPr>
              <w:pStyle w:val="Bullet1"/>
            </w:pPr>
            <w:r>
              <w:t>Deployment of an additional mid-water fish aggregation device to enhance fish population and provide support during periodic cleaning operations that may reduce the level of food / shelter.</w:t>
            </w:r>
          </w:p>
          <w:p w:rsidR="00FA636B" w:rsidRPr="006A7D9C" w:rsidRDefault="00BB0136" w:rsidP="00BB0136">
            <w:r w:rsidRPr="006A7D9C">
              <w:t xml:space="preserve">It is not envisaged that the pipes will obstruct the passage of either fish or marine mammals in any meaningful way due to the open water surrounding the </w:t>
            </w:r>
            <w:r>
              <w:t>RALS</w:t>
            </w:r>
          </w:p>
        </w:tc>
      </w:tr>
      <w:tr w:rsidR="00FA636B" w:rsidRPr="00162D9E" w:rsidTr="00685C40">
        <w:trPr>
          <w:cnfStyle w:val="000000100000" w:firstRow="0" w:lastRow="0" w:firstColumn="0" w:lastColumn="0" w:oddVBand="0" w:evenVBand="0" w:oddHBand="1" w:evenHBand="0" w:firstRowFirstColumn="0" w:firstRowLastColumn="0" w:lastRowFirstColumn="0" w:lastRowLastColumn="0"/>
        </w:trPr>
        <w:tc>
          <w:tcPr>
            <w:tcW w:w="433" w:type="pct"/>
            <w:vMerge/>
            <w:shd w:val="clear" w:color="auto" w:fill="auto"/>
          </w:tcPr>
          <w:p w:rsidR="00FA636B" w:rsidRPr="00A717A6" w:rsidRDefault="00FA636B" w:rsidP="00A717A6"/>
        </w:tc>
        <w:tc>
          <w:tcPr>
            <w:tcW w:w="767" w:type="pct"/>
            <w:vMerge/>
            <w:shd w:val="clear" w:color="auto" w:fill="auto"/>
          </w:tcPr>
          <w:p w:rsidR="00FA636B" w:rsidRPr="00A717A6" w:rsidRDefault="00FA636B" w:rsidP="00A717A6"/>
        </w:tc>
        <w:tc>
          <w:tcPr>
            <w:tcW w:w="600" w:type="pct"/>
            <w:shd w:val="clear" w:color="auto" w:fill="auto"/>
          </w:tcPr>
          <w:p w:rsidR="00FA636B" w:rsidRDefault="00FA636B" w:rsidP="006A7D9C">
            <w:pPr>
              <w:pStyle w:val="TableBullet1"/>
              <w:spacing w:before="120"/>
            </w:pPr>
            <w:r>
              <w:t>Sediment plume discharge</w:t>
            </w:r>
          </w:p>
        </w:tc>
        <w:tc>
          <w:tcPr>
            <w:tcW w:w="1600" w:type="pct"/>
            <w:shd w:val="clear" w:color="auto" w:fill="auto"/>
          </w:tcPr>
          <w:p w:rsidR="00FA636B" w:rsidRDefault="00FA636B" w:rsidP="00F838E1">
            <w:r>
              <w:t>Fall pipes should extend through the water column to the seabed</w:t>
            </w:r>
            <w:r w:rsidR="009F0381">
              <w:t xml:space="preserve"> (</w:t>
            </w:r>
            <w:r>
              <w:t>or to below the thermocline</w:t>
            </w:r>
            <w:r w:rsidR="009F0381">
              <w:t>)</w:t>
            </w:r>
            <w:r>
              <w:t xml:space="preserve">. </w:t>
            </w:r>
            <w:r w:rsidR="009F0381">
              <w:t xml:space="preserve"> This will lead to an increase in mid-water suspended sediment levels.  As a result there may be variations in naturally occurring nutrient and chemical levels.  This can cause the development of features such as mid-water oxygen minimum zones with corresponding impacts on pelagic fish species</w:t>
            </w:r>
          </w:p>
          <w:p w:rsidR="00FA636B" w:rsidRPr="006A7D9C" w:rsidRDefault="00FA636B">
            <w:r>
              <w:t>This will lead to either a mid-water discharge of fluid and sediment, or potential mounding of the sediment on the seabed.</w:t>
            </w:r>
            <w:r w:rsidR="009F0381">
              <w:t xml:space="preserve"> This may lead to localised changes in topography and smothering of benthic communities.</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FA636B" w:rsidRDefault="009F0381" w:rsidP="00FF7353">
            <w:pPr>
              <w:pStyle w:val="Bullet1"/>
            </w:pPr>
            <w:r>
              <w:t>Plume modelling should be conducted to determine the extent of the potential sediment plume based on both mid-water and near-seabed discharge points in order to determine the option that has the minimum environmental impact.</w:t>
            </w:r>
          </w:p>
          <w:p w:rsidR="009F0381" w:rsidRPr="006A7D9C" w:rsidRDefault="009F0381" w:rsidP="00FF7353">
            <w:pPr>
              <w:pStyle w:val="Bullet1"/>
            </w:pPr>
            <w:r>
              <w:t>Discharge volumes should be minimised wherever possible</w:t>
            </w:r>
          </w:p>
        </w:tc>
      </w:tr>
      <w:tr w:rsidR="00FA636B" w:rsidRPr="00162D9E" w:rsidTr="00685C40">
        <w:trPr>
          <w:cnfStyle w:val="000000010000" w:firstRow="0" w:lastRow="0" w:firstColumn="0" w:lastColumn="0" w:oddVBand="0" w:evenVBand="0" w:oddHBand="0" w:evenHBand="1" w:firstRowFirstColumn="0" w:firstRowLastColumn="0" w:lastRowFirstColumn="0" w:lastRowLastColumn="0"/>
        </w:trPr>
        <w:tc>
          <w:tcPr>
            <w:tcW w:w="433" w:type="pct"/>
            <w:vMerge w:val="restart"/>
            <w:shd w:val="clear" w:color="auto" w:fill="auto"/>
          </w:tcPr>
          <w:p w:rsidR="00FA636B" w:rsidRPr="00A717A6" w:rsidRDefault="00FA636B" w:rsidP="00A717A6">
            <w:r w:rsidRPr="00A717A6">
              <w:t>Physical presence (seabed)</w:t>
            </w:r>
          </w:p>
        </w:tc>
        <w:tc>
          <w:tcPr>
            <w:tcW w:w="767" w:type="pct"/>
            <w:vMerge w:val="restart"/>
            <w:shd w:val="clear" w:color="auto" w:fill="auto"/>
          </w:tcPr>
          <w:p w:rsidR="00FA636B" w:rsidRPr="00A717A6" w:rsidRDefault="00FA636B" w:rsidP="008E4F75">
            <w:r w:rsidRPr="008E4F75">
              <w:t>Deep sea mining will result in the physical alteration of the seabed, primarily due to direct physical impact through either suction, drilling or excavation of the surficial and underlying sediments.  There will also be an impact on the seabed from the tracks used by the seabed systems to move around the DSM area</w:t>
            </w:r>
          </w:p>
        </w:tc>
        <w:tc>
          <w:tcPr>
            <w:tcW w:w="600" w:type="pct"/>
            <w:shd w:val="clear" w:color="auto" w:fill="auto"/>
          </w:tcPr>
          <w:p w:rsidR="00FA636B" w:rsidRPr="00162D9E" w:rsidRDefault="00FA636B" w:rsidP="006A7D9C">
            <w:pPr>
              <w:pStyle w:val="TableBullet1"/>
              <w:spacing w:before="120"/>
            </w:pPr>
            <w:r>
              <w:t>Change in topography</w:t>
            </w:r>
          </w:p>
        </w:tc>
        <w:tc>
          <w:tcPr>
            <w:tcW w:w="1600" w:type="pct"/>
            <w:shd w:val="clear" w:color="auto" w:fill="auto"/>
          </w:tcPr>
          <w:p w:rsidR="009F0381" w:rsidRDefault="00FA636B" w:rsidP="00D52D8C">
            <w:r w:rsidRPr="00996188">
              <w:t>During mining and excavation activity, the sediments on the seabed will be removed</w:t>
            </w:r>
            <w:r>
              <w:t xml:space="preserve">, </w:t>
            </w:r>
            <w:r w:rsidRPr="00996188">
              <w:t>moved around</w:t>
            </w:r>
            <w:r>
              <w:t xml:space="preserve"> as a result of seabed operations.  </w:t>
            </w:r>
            <w:r w:rsidR="009F0381" w:rsidRPr="00996188">
              <w:t xml:space="preserve">This activity will tend to lead to either shallow trenches (from sediment excavation) or a flattened seabed where topographical features have been removed as part of the mining process.  The removal of seabed bed-forms may have an impact on the existing hydrodynamic regime in the area.  </w:t>
            </w:r>
          </w:p>
          <w:p w:rsidR="009F0381" w:rsidRDefault="00FA636B" w:rsidP="00D52D8C">
            <w:r>
              <w:t>There is also the potential for the deposition of processed material following near-seabed discharge of dewatering fluid or mineral tailings</w:t>
            </w:r>
            <w:r w:rsidRPr="00996188">
              <w:t xml:space="preserve">.  </w:t>
            </w:r>
          </w:p>
          <w:p w:rsidR="00FA636B" w:rsidRPr="00996188" w:rsidRDefault="00FA636B" w:rsidP="00D52D8C">
            <w:r w:rsidRPr="00996188">
              <w:t>As a result of the new seabed topography, the seabed currents may lead to additional sediment deposition or scouring.  This change in sediment load may place an additional stressor on the benthic communities.</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FA636B" w:rsidRDefault="00BB0136" w:rsidP="00FF7353">
            <w:pPr>
              <w:pStyle w:val="Bullet1"/>
            </w:pPr>
            <w:r>
              <w:t>Limit the depth of sediment excavation</w:t>
            </w:r>
            <w:r w:rsidR="009F0381">
              <w:t>.</w:t>
            </w:r>
          </w:p>
          <w:p w:rsidR="00BB0136" w:rsidRDefault="00BB0136" w:rsidP="00FF7353">
            <w:pPr>
              <w:pStyle w:val="Bullet1"/>
            </w:pPr>
            <w:r>
              <w:t xml:space="preserve">Installation of scour remediation </w:t>
            </w:r>
            <w:r w:rsidR="009F0381">
              <w:t>/ reduction equipment e.g. scour mats to stabilise the sediment in areas of excessive current speed or if there is evidence of ongoing scour.</w:t>
            </w:r>
          </w:p>
          <w:p w:rsidR="00FF7353" w:rsidRDefault="00FF7353" w:rsidP="00FF7353">
            <w:pPr>
              <w:pStyle w:val="Bullet1"/>
            </w:pPr>
            <w:r>
              <w:t>Return excess sediment to extraction area.</w:t>
            </w:r>
          </w:p>
          <w:p w:rsidR="009F0381" w:rsidRPr="00996188" w:rsidRDefault="009F0381" w:rsidP="00FF7353">
            <w:pPr>
              <w:pStyle w:val="Bullet1"/>
            </w:pPr>
            <w:r>
              <w:t>Regularly move the RALS discharge point to avoid excessive deposition in a single area.</w:t>
            </w:r>
          </w:p>
        </w:tc>
      </w:tr>
      <w:tr w:rsidR="00FA636B" w:rsidRPr="00162D9E" w:rsidTr="00685C40">
        <w:trPr>
          <w:cnfStyle w:val="000000100000" w:firstRow="0" w:lastRow="0" w:firstColumn="0" w:lastColumn="0" w:oddVBand="0" w:evenVBand="0" w:oddHBand="1" w:evenHBand="0" w:firstRowFirstColumn="0" w:firstRowLastColumn="0" w:lastRowFirstColumn="0" w:lastRowLastColumn="0"/>
        </w:trPr>
        <w:tc>
          <w:tcPr>
            <w:tcW w:w="433" w:type="pct"/>
            <w:vMerge/>
            <w:shd w:val="clear" w:color="auto" w:fill="auto"/>
          </w:tcPr>
          <w:p w:rsidR="00FA636B" w:rsidRPr="00162D9E" w:rsidRDefault="00FA636B" w:rsidP="00BB0136">
            <w:pPr>
              <w:pStyle w:val="TableTextLeft"/>
            </w:pPr>
          </w:p>
        </w:tc>
        <w:tc>
          <w:tcPr>
            <w:tcW w:w="767" w:type="pct"/>
            <w:vMerge/>
            <w:shd w:val="clear" w:color="auto" w:fill="auto"/>
          </w:tcPr>
          <w:p w:rsidR="00FA636B" w:rsidRPr="00F46C0E" w:rsidRDefault="00FA636B" w:rsidP="00F46C0E"/>
        </w:tc>
        <w:tc>
          <w:tcPr>
            <w:tcW w:w="600" w:type="pct"/>
            <w:shd w:val="clear" w:color="auto" w:fill="auto"/>
          </w:tcPr>
          <w:p w:rsidR="00FA636B" w:rsidRPr="00162D9E" w:rsidRDefault="00FA636B" w:rsidP="00996188">
            <w:pPr>
              <w:pStyle w:val="TableBullet1"/>
              <w:spacing w:before="120"/>
            </w:pPr>
            <w:r>
              <w:t>Removal of hard substrate</w:t>
            </w:r>
          </w:p>
        </w:tc>
        <w:tc>
          <w:tcPr>
            <w:tcW w:w="1600" w:type="pct"/>
            <w:shd w:val="clear" w:color="auto" w:fill="auto"/>
          </w:tcPr>
          <w:p w:rsidR="00FA636B" w:rsidRPr="00996188" w:rsidRDefault="00FA636B" w:rsidP="00996188">
            <w:r w:rsidRPr="00996188">
              <w:t>The removal of manganese nodules or the cobalt rich crusts from the seafloor will deprive the area of a source of hard substrate.  This could lead to increased erosion or scouring as there is less protection for softer sediments from seabed currents</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FF4298" w:rsidRDefault="00FF4298" w:rsidP="00FF4298">
            <w:pPr>
              <w:pStyle w:val="Bullet1"/>
            </w:pPr>
            <w:r>
              <w:t>Installation of scour remediation / reduction equipment e.g. scour mats to stabilise the sediment in areas of excessive current speed or if there is evidence of ongoing scour.</w:t>
            </w:r>
          </w:p>
          <w:p w:rsidR="00FF7353" w:rsidRDefault="00FF7353" w:rsidP="00FF7353">
            <w:pPr>
              <w:pStyle w:val="Bullet1"/>
            </w:pPr>
            <w:r>
              <w:t>Return excess sediment to extraction area.</w:t>
            </w:r>
          </w:p>
          <w:p w:rsidR="00FA636B" w:rsidRPr="00996188" w:rsidRDefault="00FF4298" w:rsidP="00FF7353">
            <w:pPr>
              <w:pStyle w:val="Bullet1"/>
            </w:pPr>
            <w:r>
              <w:t>Habitat compensation - install additional hard substrate on the seabed, composed of chemically inert material</w:t>
            </w:r>
            <w:r w:rsidR="00C840F8">
              <w:t xml:space="preserve"> (e.g. rock placement)</w:t>
            </w:r>
            <w:r>
              <w:t>, to replace the habitat removed during the mining operations.</w:t>
            </w:r>
          </w:p>
        </w:tc>
      </w:tr>
      <w:tr w:rsidR="00FA636B" w:rsidRPr="00162D9E" w:rsidTr="00685C40">
        <w:trPr>
          <w:cnfStyle w:val="000000010000" w:firstRow="0" w:lastRow="0" w:firstColumn="0" w:lastColumn="0" w:oddVBand="0" w:evenVBand="0" w:oddHBand="0" w:evenHBand="1" w:firstRowFirstColumn="0" w:firstRowLastColumn="0" w:lastRowFirstColumn="0" w:lastRowLastColumn="0"/>
        </w:trPr>
        <w:tc>
          <w:tcPr>
            <w:tcW w:w="433" w:type="pct"/>
            <w:vMerge/>
            <w:shd w:val="clear" w:color="auto" w:fill="auto"/>
          </w:tcPr>
          <w:p w:rsidR="00FA636B" w:rsidRPr="00162D9E" w:rsidRDefault="00FA636B" w:rsidP="00BB0136">
            <w:pPr>
              <w:pStyle w:val="TableTextLeft"/>
            </w:pPr>
          </w:p>
        </w:tc>
        <w:tc>
          <w:tcPr>
            <w:tcW w:w="767" w:type="pct"/>
            <w:vMerge/>
            <w:shd w:val="clear" w:color="auto" w:fill="auto"/>
          </w:tcPr>
          <w:p w:rsidR="00FA636B" w:rsidRPr="00F46C0E" w:rsidRDefault="00FA636B" w:rsidP="00F46C0E"/>
        </w:tc>
        <w:tc>
          <w:tcPr>
            <w:tcW w:w="600" w:type="pct"/>
            <w:shd w:val="clear" w:color="auto" w:fill="auto"/>
          </w:tcPr>
          <w:p w:rsidR="00FA636B" w:rsidRPr="00162D9E" w:rsidRDefault="00FA636B" w:rsidP="006A7D9C">
            <w:pPr>
              <w:pStyle w:val="TableBullet1"/>
              <w:spacing w:before="120"/>
            </w:pPr>
            <w:r>
              <w:t>Increase in temperature</w:t>
            </w:r>
          </w:p>
        </w:tc>
        <w:tc>
          <w:tcPr>
            <w:tcW w:w="1600" w:type="pct"/>
            <w:shd w:val="clear" w:color="auto" w:fill="auto"/>
          </w:tcPr>
          <w:p w:rsidR="00FA636B" w:rsidRPr="00162D9E" w:rsidRDefault="00FA636B">
            <w:r w:rsidRPr="00996188">
              <w:t xml:space="preserve">The subsea generators will produce heat as a by-product of the electricity generation process leading to changes in the water temperature near the seafloor.  </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FA636B" w:rsidRDefault="00810FAC" w:rsidP="00FF7353">
            <w:pPr>
              <w:pStyle w:val="Bullet1"/>
            </w:pPr>
            <w:r>
              <w:t>Generators to be turned off when not in use.</w:t>
            </w:r>
          </w:p>
          <w:p w:rsidR="00810FAC" w:rsidRPr="00996188" w:rsidRDefault="00810FAC" w:rsidP="00FF7353">
            <w:pPr>
              <w:pStyle w:val="Bullet1"/>
            </w:pPr>
            <w:r>
              <w:t>If multiple generators are present, load balancing should be used to ensure that only the minimal number of generators required for safe operations are active.</w:t>
            </w:r>
          </w:p>
        </w:tc>
      </w:tr>
      <w:tr w:rsidR="00FA636B" w:rsidRPr="00162D9E" w:rsidTr="00685C40">
        <w:trPr>
          <w:cnfStyle w:val="000000100000" w:firstRow="0" w:lastRow="0" w:firstColumn="0" w:lastColumn="0" w:oddVBand="0" w:evenVBand="0" w:oddHBand="1" w:evenHBand="0" w:firstRowFirstColumn="0" w:firstRowLastColumn="0" w:lastRowFirstColumn="0" w:lastRowLastColumn="0"/>
        </w:trPr>
        <w:tc>
          <w:tcPr>
            <w:tcW w:w="433" w:type="pct"/>
            <w:vMerge w:val="restart"/>
            <w:shd w:val="clear" w:color="auto" w:fill="auto"/>
          </w:tcPr>
          <w:p w:rsidR="00FA636B" w:rsidRPr="00A717A6" w:rsidRDefault="00FA636B" w:rsidP="000E7F56">
            <w:r w:rsidRPr="00A717A6">
              <w:t xml:space="preserve">Disturbance to </w:t>
            </w:r>
            <w:r>
              <w:t>water column (includes surface waters, photic zone and water column to the seabed)</w:t>
            </w:r>
          </w:p>
        </w:tc>
        <w:tc>
          <w:tcPr>
            <w:tcW w:w="767" w:type="pct"/>
            <w:vMerge w:val="restart"/>
            <w:shd w:val="clear" w:color="auto" w:fill="auto"/>
          </w:tcPr>
          <w:p w:rsidR="00FA636B" w:rsidRPr="00A717A6" w:rsidRDefault="00810FAC">
            <w:r w:rsidRPr="00FF7353">
              <w:t>Recovered m</w:t>
            </w:r>
            <w:r w:rsidR="00FA636B" w:rsidRPr="00FF7353">
              <w:t xml:space="preserve">ineral ores may be </w:t>
            </w:r>
            <w:r w:rsidRPr="00FF7353">
              <w:t xml:space="preserve">de-watered on-board </w:t>
            </w:r>
            <w:r w:rsidR="00FA636B" w:rsidRPr="00FF7353">
              <w:t>the MSV prior to shipment to shore.  As a result, the dewatering fluid may be discharged into the water column at the surface (or through a mid-water fall pipe) from the MSV.</w:t>
            </w:r>
          </w:p>
        </w:tc>
        <w:tc>
          <w:tcPr>
            <w:tcW w:w="600" w:type="pct"/>
            <w:shd w:val="clear" w:color="auto" w:fill="auto"/>
          </w:tcPr>
          <w:p w:rsidR="00FA636B" w:rsidRPr="008431E3" w:rsidRDefault="00FA636B" w:rsidP="006A7D9C">
            <w:pPr>
              <w:pStyle w:val="TableBullet1"/>
              <w:spacing w:before="120"/>
              <w:rPr>
                <w:spacing w:val="-2"/>
              </w:rPr>
            </w:pPr>
            <w:r w:rsidRPr="008431E3">
              <w:rPr>
                <w:spacing w:val="-2"/>
              </w:rPr>
              <w:t>Increase in suspended sediment concentrations</w:t>
            </w:r>
            <w:r>
              <w:rPr>
                <w:spacing w:val="-2"/>
              </w:rPr>
              <w:t xml:space="preserve"> (surface waters and photic zone)</w:t>
            </w:r>
          </w:p>
        </w:tc>
        <w:tc>
          <w:tcPr>
            <w:tcW w:w="1600" w:type="pct"/>
            <w:shd w:val="clear" w:color="auto" w:fill="auto"/>
          </w:tcPr>
          <w:p w:rsidR="00FA636B" w:rsidRPr="00162D9E" w:rsidRDefault="00FA636B" w:rsidP="00E155CB">
            <w:pPr>
              <w:pStyle w:val="TableBullet1"/>
              <w:numPr>
                <w:ilvl w:val="0"/>
                <w:numId w:val="0"/>
              </w:numPr>
              <w:spacing w:before="120"/>
            </w:pPr>
            <w:r>
              <w:t>Increased suspended sediment concentration resulting from the tailings and dewatering discharge from the MSV.  This could lead to the mortality and reduction in biodiversity of the zoo- and phytoplankton communities in the surface waters and photic zone.  Any re-suspended, naturally occurring heavy metals or associated compounds have the potential to bio-accumulate throughout the food chain and affect higher trophic order organisms.</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810FAC" w:rsidRDefault="00810FAC" w:rsidP="00810FAC">
            <w:pPr>
              <w:pStyle w:val="Bullet1"/>
            </w:pPr>
            <w:r>
              <w:t>Undertake dispersion modelling to ascertain the extent of any sediment plume.</w:t>
            </w:r>
          </w:p>
          <w:p w:rsidR="00810FAC" w:rsidRDefault="00810FAC" w:rsidP="00810FAC">
            <w:pPr>
              <w:pStyle w:val="Bullet1"/>
            </w:pPr>
            <w:r>
              <w:t>Discharge during hours of darkness to minimise impacts on photosynthetic plankton.</w:t>
            </w:r>
          </w:p>
          <w:p w:rsidR="00FA636B" w:rsidRDefault="00810FAC" w:rsidP="00FF7353">
            <w:pPr>
              <w:pStyle w:val="Bullet1"/>
            </w:pPr>
            <w:r>
              <w:t>Undertake periodic discharges rather than continuous discharges, in order to allow sediment to disperse</w:t>
            </w:r>
          </w:p>
        </w:tc>
      </w:tr>
      <w:tr w:rsidR="00FA636B" w:rsidRPr="00162D9E" w:rsidTr="00685C40">
        <w:trPr>
          <w:cnfStyle w:val="000000010000" w:firstRow="0" w:lastRow="0" w:firstColumn="0" w:lastColumn="0" w:oddVBand="0" w:evenVBand="0" w:oddHBand="0" w:evenHBand="1" w:firstRowFirstColumn="0" w:firstRowLastColumn="0" w:lastRowFirstColumn="0" w:lastRowLastColumn="0"/>
        </w:trPr>
        <w:tc>
          <w:tcPr>
            <w:tcW w:w="433" w:type="pct"/>
            <w:vMerge/>
            <w:shd w:val="clear" w:color="auto" w:fill="auto"/>
          </w:tcPr>
          <w:p w:rsidR="00FA636B" w:rsidRPr="00A717A6" w:rsidRDefault="00FA636B" w:rsidP="00A717A6"/>
        </w:tc>
        <w:tc>
          <w:tcPr>
            <w:tcW w:w="767" w:type="pct"/>
            <w:vMerge/>
            <w:shd w:val="clear" w:color="auto" w:fill="auto"/>
          </w:tcPr>
          <w:p w:rsidR="00FA636B" w:rsidRPr="00A717A6" w:rsidRDefault="00FA636B" w:rsidP="00A717A6"/>
        </w:tc>
        <w:tc>
          <w:tcPr>
            <w:tcW w:w="600" w:type="pct"/>
            <w:shd w:val="clear" w:color="auto" w:fill="auto"/>
          </w:tcPr>
          <w:p w:rsidR="00FA636B" w:rsidRPr="00162D9E" w:rsidRDefault="00FA636B" w:rsidP="006A7D9C">
            <w:pPr>
              <w:pStyle w:val="TableBullet1"/>
              <w:spacing w:before="120"/>
            </w:pPr>
            <w:r>
              <w:t>Reduced ambient light levels in surface waters (photic zone only)</w:t>
            </w:r>
          </w:p>
        </w:tc>
        <w:tc>
          <w:tcPr>
            <w:tcW w:w="1600" w:type="pct"/>
            <w:shd w:val="clear" w:color="auto" w:fill="auto"/>
          </w:tcPr>
          <w:p w:rsidR="00FA636B" w:rsidRDefault="00FA636B" w:rsidP="003A1D8E">
            <w:pPr>
              <w:pStyle w:val="TableBullet1"/>
              <w:numPr>
                <w:ilvl w:val="0"/>
                <w:numId w:val="0"/>
              </w:numPr>
              <w:spacing w:before="120"/>
            </w:pPr>
            <w:r>
              <w:t>Reduced ambient light levels due to suspended sediment:  This may have a number of impacts such as:-</w:t>
            </w:r>
          </w:p>
          <w:p w:rsidR="00FA636B" w:rsidRDefault="00FA636B" w:rsidP="00121FB8">
            <w:pPr>
              <w:pStyle w:val="TableBullet1"/>
              <w:numPr>
                <w:ilvl w:val="1"/>
                <w:numId w:val="3"/>
              </w:numPr>
              <w:tabs>
                <w:tab w:val="clear" w:pos="1440"/>
              </w:tabs>
              <w:ind w:left="601" w:hanging="284"/>
            </w:pPr>
            <w:r>
              <w:t xml:space="preserve">A reduction in primary production: This would be an additional </w:t>
            </w:r>
            <w:r>
              <w:lastRenderedPageBreak/>
              <w:t>stressor and lead to a reduction in the ability of the ecosystem to tolerate change.</w:t>
            </w:r>
          </w:p>
          <w:p w:rsidR="00FA636B" w:rsidRDefault="00FA636B" w:rsidP="00121FB8">
            <w:pPr>
              <w:pStyle w:val="TableBullet1"/>
              <w:numPr>
                <w:ilvl w:val="1"/>
                <w:numId w:val="3"/>
              </w:numPr>
              <w:tabs>
                <w:tab w:val="clear" w:pos="1440"/>
              </w:tabs>
              <w:ind w:left="601" w:hanging="284"/>
            </w:pPr>
            <w:r>
              <w:t>Effects on pelagic fish (mortality and behaviour): The lower light levels may restrict visibility, leading to variations in predator-prey relationships.</w:t>
            </w:r>
          </w:p>
          <w:p w:rsidR="00FA636B" w:rsidRPr="00162D9E" w:rsidRDefault="00FA636B" w:rsidP="00121FB8">
            <w:pPr>
              <w:pStyle w:val="TableBullet1"/>
              <w:numPr>
                <w:ilvl w:val="1"/>
                <w:numId w:val="3"/>
              </w:numPr>
              <w:tabs>
                <w:tab w:val="clear" w:pos="1440"/>
              </w:tabs>
              <w:ind w:left="601" w:hanging="284"/>
            </w:pPr>
            <w:r>
              <w:t>Effects on the behaviour of marine mammals and turtles</w:t>
            </w:r>
          </w:p>
        </w:tc>
        <w:tc>
          <w:tcPr>
            <w:tcW w:w="1600" w:type="pct"/>
            <w:shd w:val="clear" w:color="auto" w:fill="auto"/>
          </w:tcPr>
          <w:p w:rsidR="00FA636B" w:rsidRPr="00950F86" w:rsidRDefault="00FA636B" w:rsidP="00BB0136">
            <w:pPr>
              <w:rPr>
                <w:u w:val="single"/>
              </w:rPr>
            </w:pPr>
            <w:r w:rsidRPr="00950F86">
              <w:rPr>
                <w:u w:val="single"/>
              </w:rPr>
              <w:lastRenderedPageBreak/>
              <w:t>Potential mitigation measures</w:t>
            </w:r>
          </w:p>
          <w:p w:rsidR="00810FAC" w:rsidRDefault="00810FAC" w:rsidP="00810FAC">
            <w:pPr>
              <w:pStyle w:val="Bullet1"/>
            </w:pPr>
            <w:r>
              <w:t>Undertake 3D dispersion modelling to ascertain the extent of any sediment plume.</w:t>
            </w:r>
          </w:p>
          <w:p w:rsidR="00810FAC" w:rsidRDefault="00810FAC" w:rsidP="00810FAC">
            <w:pPr>
              <w:pStyle w:val="Bullet1"/>
            </w:pPr>
            <w:r>
              <w:lastRenderedPageBreak/>
              <w:t>Discharge during hours of darkness to minimise impacts on photosynthetic plankton.</w:t>
            </w:r>
          </w:p>
          <w:p w:rsidR="00FA636B" w:rsidRDefault="00810FAC" w:rsidP="00DA3484">
            <w:pPr>
              <w:pStyle w:val="Bullet1"/>
            </w:pPr>
            <w:r>
              <w:t>Undertake periodic discharges rather than continuous discharges, in order to allow sediment to disperse</w:t>
            </w:r>
          </w:p>
          <w:p w:rsidR="00FF7353" w:rsidRDefault="00FF7353" w:rsidP="00DA3484">
            <w:pPr>
              <w:pStyle w:val="Bullet1"/>
            </w:pPr>
            <w:r>
              <w:t>Release fluids below the photic zone</w:t>
            </w:r>
          </w:p>
        </w:tc>
      </w:tr>
      <w:tr w:rsidR="00FA636B" w:rsidRPr="00162D9E" w:rsidTr="00685C40">
        <w:trPr>
          <w:cnfStyle w:val="000000100000" w:firstRow="0" w:lastRow="0" w:firstColumn="0" w:lastColumn="0" w:oddVBand="0" w:evenVBand="0" w:oddHBand="1" w:evenHBand="0" w:firstRowFirstColumn="0" w:firstRowLastColumn="0" w:lastRowFirstColumn="0" w:lastRowLastColumn="0"/>
        </w:trPr>
        <w:tc>
          <w:tcPr>
            <w:tcW w:w="433" w:type="pct"/>
            <w:vMerge/>
            <w:shd w:val="clear" w:color="auto" w:fill="auto"/>
          </w:tcPr>
          <w:p w:rsidR="00FA636B" w:rsidRPr="00A717A6" w:rsidRDefault="00FA636B" w:rsidP="00BB0136"/>
        </w:tc>
        <w:tc>
          <w:tcPr>
            <w:tcW w:w="767" w:type="pct"/>
            <w:vMerge/>
            <w:shd w:val="clear" w:color="auto" w:fill="auto"/>
          </w:tcPr>
          <w:p w:rsidR="00FA636B" w:rsidRPr="00A717A6" w:rsidRDefault="00FA636B" w:rsidP="00BB0136"/>
        </w:tc>
        <w:tc>
          <w:tcPr>
            <w:tcW w:w="600" w:type="pct"/>
            <w:shd w:val="clear" w:color="auto" w:fill="auto"/>
          </w:tcPr>
          <w:p w:rsidR="00FA636B" w:rsidRPr="00162D9E" w:rsidRDefault="00FA636B" w:rsidP="00BB0136">
            <w:pPr>
              <w:pStyle w:val="TableBullet1"/>
              <w:spacing w:before="120"/>
            </w:pPr>
            <w:r>
              <w:t>Increase in suspended sediment (mid water)</w:t>
            </w:r>
          </w:p>
        </w:tc>
        <w:tc>
          <w:tcPr>
            <w:tcW w:w="1600" w:type="pct"/>
            <w:shd w:val="clear" w:color="auto" w:fill="auto"/>
          </w:tcPr>
          <w:p w:rsidR="00FA636B" w:rsidRPr="0019570C" w:rsidRDefault="00FA636B" w:rsidP="003A1D8E">
            <w:r w:rsidRPr="0019570C">
              <w:t>Sediment particles associated with dewatering fluid and tailings mineral will naturally sink to the seafloor under the influence of gravity</w:t>
            </w:r>
            <w:r>
              <w:t>.  This may lead to an increase in suspended sediment concentration in the pelagic area of the water column, with corresponding variations in nutrient and naturally occurring chemical levels.  This may lead to the development of features such as mid-water oxygen minimum zones with corresponding impacts on pelagic fish species.</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FA636B" w:rsidRDefault="00152A83" w:rsidP="00DA3484">
            <w:pPr>
              <w:pStyle w:val="Bullet1"/>
            </w:pPr>
            <w:r>
              <w:t>Undertake periodic discharges rather than continuous discharges, in order to allow sediment to disperse</w:t>
            </w:r>
          </w:p>
          <w:p w:rsidR="00B2150A" w:rsidRDefault="00152A83" w:rsidP="00DA3484">
            <w:pPr>
              <w:pStyle w:val="Bullet1"/>
            </w:pPr>
            <w:r>
              <w:t xml:space="preserve">Reduce the rate of discharge </w:t>
            </w:r>
            <w:r w:rsidR="00B2150A">
              <w:t xml:space="preserve">as far as reasonably practicable and </w:t>
            </w:r>
            <w:r>
              <w:t>as permitted by standard operations</w:t>
            </w:r>
            <w:r w:rsidR="00B2150A">
              <w:t xml:space="preserve">.  This will act </w:t>
            </w:r>
            <w:r>
              <w:t xml:space="preserve">to reduce the </w:t>
            </w:r>
            <w:r w:rsidR="00B2150A">
              <w:t>amount of sediment being discharged.</w:t>
            </w:r>
          </w:p>
          <w:p w:rsidR="00FF7353" w:rsidRDefault="00FF7353" w:rsidP="00DA3484">
            <w:pPr>
              <w:pStyle w:val="Bullet1"/>
            </w:pPr>
            <w:r>
              <w:t xml:space="preserve">Release fluids below the photic zone </w:t>
            </w:r>
          </w:p>
          <w:p w:rsidR="00FF7353" w:rsidRPr="0019570C" w:rsidRDefault="00B2150A" w:rsidP="00DA3484">
            <w:pPr>
              <w:pStyle w:val="Bullet1"/>
            </w:pPr>
            <w:r>
              <w:t>Optical backscatter / suspended sediment levels in the vicinity of the discharge point should be regularly monitored and checked against established baselines.</w:t>
            </w:r>
          </w:p>
        </w:tc>
      </w:tr>
      <w:tr w:rsidR="00FA636B" w:rsidRPr="00162D9E" w:rsidTr="00685C40">
        <w:trPr>
          <w:cnfStyle w:val="000000010000" w:firstRow="0" w:lastRow="0" w:firstColumn="0" w:lastColumn="0" w:oddVBand="0" w:evenVBand="0" w:oddHBand="0" w:evenHBand="1" w:firstRowFirstColumn="0" w:firstRowLastColumn="0" w:lastRowFirstColumn="0" w:lastRowLastColumn="0"/>
        </w:trPr>
        <w:tc>
          <w:tcPr>
            <w:tcW w:w="433" w:type="pct"/>
            <w:vMerge/>
            <w:shd w:val="clear" w:color="auto" w:fill="auto"/>
          </w:tcPr>
          <w:p w:rsidR="00FA636B" w:rsidRPr="00A717A6" w:rsidRDefault="00FA636B" w:rsidP="00BB0136"/>
        </w:tc>
        <w:tc>
          <w:tcPr>
            <w:tcW w:w="767" w:type="pct"/>
            <w:vMerge/>
            <w:shd w:val="clear" w:color="auto" w:fill="auto"/>
          </w:tcPr>
          <w:p w:rsidR="00FA636B" w:rsidRPr="00A717A6" w:rsidRDefault="00FA636B" w:rsidP="00BB0136"/>
        </w:tc>
        <w:tc>
          <w:tcPr>
            <w:tcW w:w="600" w:type="pct"/>
            <w:shd w:val="clear" w:color="auto" w:fill="auto"/>
          </w:tcPr>
          <w:p w:rsidR="00FA636B" w:rsidRPr="008431E3" w:rsidRDefault="00FA636B" w:rsidP="00BB0136">
            <w:pPr>
              <w:pStyle w:val="TableBullet1"/>
              <w:spacing w:before="120"/>
              <w:rPr>
                <w:rFonts w:eastAsiaTheme="minorHAnsi" w:cstheme="minorBidi"/>
              </w:rPr>
            </w:pPr>
            <w:r>
              <w:t>Thermal discharge (mid-water)</w:t>
            </w:r>
          </w:p>
        </w:tc>
        <w:tc>
          <w:tcPr>
            <w:tcW w:w="1600" w:type="pct"/>
            <w:shd w:val="clear" w:color="auto" w:fill="auto"/>
          </w:tcPr>
          <w:p w:rsidR="00FA636B" w:rsidRPr="00152A83" w:rsidRDefault="00152A83">
            <w:r w:rsidRPr="00DA3484">
              <w:t xml:space="preserve">Water discharged mid-water from the RALS may </w:t>
            </w:r>
            <w:r w:rsidR="00FA636B" w:rsidRPr="00DA3484">
              <w:t xml:space="preserve">be warmer than the surrounding environment and will contain dissolved oxygen, nutrients and minerals.  The discharge water </w:t>
            </w:r>
            <w:r w:rsidRPr="00152A83">
              <w:t xml:space="preserve">has the potential to </w:t>
            </w:r>
            <w:r w:rsidR="00FA636B" w:rsidRPr="00152A83">
              <w:t>influence the pelagic ecosystem due to either potential algal blooms (Chen,2007) or displacement of existing species due to a change in the physical characteristics of the water column in the vicinity of the discharge point.</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FA636B" w:rsidRDefault="00152A83" w:rsidP="00DA3484">
            <w:pPr>
              <w:pStyle w:val="Bullet1"/>
            </w:pPr>
            <w:r>
              <w:t xml:space="preserve">Temperature, nutrient content and chemical concentrations of discharge water to be monitored on a regular basis.  Concentrations of chemicals/nutrients </w:t>
            </w:r>
            <w:r w:rsidR="00B2150A">
              <w:t>should be monitored against the established baseline</w:t>
            </w:r>
            <w:r>
              <w:t>.</w:t>
            </w:r>
          </w:p>
          <w:p w:rsidR="00152A83" w:rsidRDefault="00152A83" w:rsidP="00DA3484">
            <w:pPr>
              <w:pStyle w:val="Bullet1"/>
            </w:pPr>
            <w:r>
              <w:t>Minimal rate of discharge as permitted by standard operations to reduce the volume of water introduced to the water column.</w:t>
            </w:r>
          </w:p>
        </w:tc>
      </w:tr>
      <w:tr w:rsidR="00FA636B" w:rsidRPr="00162D9E" w:rsidTr="00685C40">
        <w:trPr>
          <w:cnfStyle w:val="000000100000" w:firstRow="0" w:lastRow="0" w:firstColumn="0" w:lastColumn="0" w:oddVBand="0" w:evenVBand="0" w:oddHBand="1" w:evenHBand="0" w:firstRowFirstColumn="0" w:firstRowLastColumn="0" w:lastRowFirstColumn="0" w:lastRowLastColumn="0"/>
        </w:trPr>
        <w:tc>
          <w:tcPr>
            <w:tcW w:w="433" w:type="pct"/>
            <w:vMerge/>
            <w:shd w:val="clear" w:color="auto" w:fill="auto"/>
          </w:tcPr>
          <w:p w:rsidR="00FA636B" w:rsidRPr="00A717A6" w:rsidRDefault="00FA636B" w:rsidP="00BB0136"/>
        </w:tc>
        <w:tc>
          <w:tcPr>
            <w:tcW w:w="767" w:type="pct"/>
            <w:vMerge/>
            <w:shd w:val="clear" w:color="auto" w:fill="auto"/>
          </w:tcPr>
          <w:p w:rsidR="00FA636B" w:rsidRPr="00A717A6" w:rsidRDefault="00FA636B" w:rsidP="00BB0136"/>
        </w:tc>
        <w:tc>
          <w:tcPr>
            <w:tcW w:w="600" w:type="pct"/>
            <w:shd w:val="clear" w:color="auto" w:fill="auto"/>
          </w:tcPr>
          <w:p w:rsidR="00FA636B" w:rsidRDefault="00FA636B" w:rsidP="00BB0136">
            <w:pPr>
              <w:pStyle w:val="TableBullet1"/>
              <w:spacing w:before="120"/>
            </w:pPr>
            <w:r w:rsidRPr="008431E3">
              <w:rPr>
                <w:rFonts w:eastAsiaTheme="minorHAnsi" w:cstheme="minorBidi"/>
              </w:rPr>
              <w:t>Increase in suspended sediment</w:t>
            </w:r>
            <w:r>
              <w:rPr>
                <w:rFonts w:eastAsiaTheme="minorHAnsi" w:cstheme="minorBidi"/>
              </w:rPr>
              <w:t xml:space="preserve"> (seabed)</w:t>
            </w:r>
          </w:p>
        </w:tc>
        <w:tc>
          <w:tcPr>
            <w:tcW w:w="1600" w:type="pct"/>
            <w:shd w:val="clear" w:color="auto" w:fill="auto"/>
          </w:tcPr>
          <w:p w:rsidR="00FA636B" w:rsidRPr="0019570C" w:rsidRDefault="00FA636B">
            <w:r w:rsidRPr="00AA1588">
              <w:t>Sediment</w:t>
            </w:r>
            <w:r>
              <w:t xml:space="preserve">ation from the surface (or mid-water) discharge of dewatering fluid may </w:t>
            </w:r>
            <w:r w:rsidRPr="00AA1588">
              <w:t xml:space="preserve">lead to smothering of sessile organisms, and the clogging of suspension feeders.  </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FA636B" w:rsidRDefault="00B2150A" w:rsidP="00DA3484">
            <w:pPr>
              <w:pStyle w:val="Bullet1"/>
            </w:pPr>
            <w:r>
              <w:t>Optical backscatter / suspended sediment levels in the vicinity of the discharge point should be regularly monitored and checked against established baselines.</w:t>
            </w:r>
          </w:p>
          <w:p w:rsidR="00B2150A" w:rsidRPr="00AA1588" w:rsidRDefault="00B2150A" w:rsidP="00DA3484">
            <w:pPr>
              <w:pStyle w:val="Bullet1"/>
            </w:pPr>
            <w:r>
              <w:t>Reduce the rate of discharge as far as reasonably practicable and as permitted by standard operations.  This will act to reduce the amount of sediment being discharged.</w:t>
            </w:r>
          </w:p>
        </w:tc>
      </w:tr>
      <w:tr w:rsidR="00FA636B" w:rsidRPr="00162D9E" w:rsidTr="00685C40">
        <w:trPr>
          <w:cnfStyle w:val="000000010000" w:firstRow="0" w:lastRow="0" w:firstColumn="0" w:lastColumn="0" w:oddVBand="0" w:evenVBand="0" w:oddHBand="0" w:evenHBand="1" w:firstRowFirstColumn="0" w:firstRowLastColumn="0" w:lastRowFirstColumn="0" w:lastRowLastColumn="0"/>
        </w:trPr>
        <w:tc>
          <w:tcPr>
            <w:tcW w:w="433" w:type="pct"/>
            <w:vMerge w:val="restart"/>
            <w:shd w:val="clear" w:color="auto" w:fill="auto"/>
          </w:tcPr>
          <w:p w:rsidR="00FA636B" w:rsidRPr="00A717A6" w:rsidRDefault="00FA636B" w:rsidP="00A717A6">
            <w:r w:rsidRPr="00A717A6">
              <w:t>Disturbance to benthic communities</w:t>
            </w:r>
          </w:p>
        </w:tc>
        <w:tc>
          <w:tcPr>
            <w:tcW w:w="767" w:type="pct"/>
            <w:vMerge w:val="restart"/>
            <w:shd w:val="clear" w:color="auto" w:fill="auto"/>
          </w:tcPr>
          <w:p w:rsidR="00FA636B" w:rsidRPr="00A717A6" w:rsidRDefault="00FA636B" w:rsidP="00AA1588">
            <w:r w:rsidRPr="00AA1588">
              <w:t>DSM will have a physical impact on the seabed.  The alteration of the existing physical and chemical equilibria will have an impact on the biological aspects of the seabed, i.e. the benthic fauna</w:t>
            </w:r>
            <w:r>
              <w:t>.</w:t>
            </w:r>
          </w:p>
        </w:tc>
        <w:tc>
          <w:tcPr>
            <w:tcW w:w="600" w:type="pct"/>
            <w:shd w:val="clear" w:color="auto" w:fill="auto"/>
          </w:tcPr>
          <w:p w:rsidR="00FA636B" w:rsidRPr="00D479AE" w:rsidRDefault="00FA636B" w:rsidP="006A7D9C">
            <w:pPr>
              <w:pStyle w:val="TableBullet1"/>
              <w:spacing w:before="120"/>
            </w:pPr>
            <w:r w:rsidRPr="008431E3">
              <w:rPr>
                <w:rFonts w:eastAsiaTheme="minorHAnsi" w:cstheme="minorBidi"/>
              </w:rPr>
              <w:t>Changes to existing community</w:t>
            </w:r>
          </w:p>
        </w:tc>
        <w:tc>
          <w:tcPr>
            <w:tcW w:w="1600" w:type="pct"/>
            <w:shd w:val="clear" w:color="auto" w:fill="auto"/>
          </w:tcPr>
          <w:p w:rsidR="00FA636B" w:rsidRPr="00AA1588" w:rsidRDefault="00FA636B" w:rsidP="00AA1588">
            <w:r w:rsidRPr="00AA1588">
              <w:t xml:space="preserve">During the mining and excavation process, organisms will be removed from the seabed along with the sediment.  Other organisms may be crushed by the movement of the seabed equipment systems.  Communities adjacent to the DSM area of operations may be impacted by changes to the level of hydrothermal activity in the area.  The seabed habitat will also be changed during the mining process, including the reduction in the availability of hard substrate (in the case of manganese nodules or cobalt rich crusts).  The change in habitat (and subsequent recovery) may lead to a shift in ecosystem structure.  </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FA636B" w:rsidRDefault="00B2150A" w:rsidP="00DA3484">
            <w:pPr>
              <w:pStyle w:val="Bullet1"/>
            </w:pPr>
            <w:r w:rsidRPr="00B2150A">
              <w:t>Incorporating periods of no activity in</w:t>
            </w:r>
            <w:r w:rsidR="00FF7353">
              <w:t xml:space="preserve">to project planning in </w:t>
            </w:r>
            <w:r w:rsidRPr="00B2150A">
              <w:t xml:space="preserve"> the event of any spawning activity</w:t>
            </w:r>
            <w:r w:rsidR="00FF7353">
              <w:t xml:space="preserve"> (observed or predicted)</w:t>
            </w:r>
          </w:p>
          <w:p w:rsidR="00B2150A" w:rsidRDefault="00B2150A" w:rsidP="00DA3484">
            <w:pPr>
              <w:pStyle w:val="Bullet1"/>
            </w:pPr>
            <w:r>
              <w:t xml:space="preserve">Recovery of benthic samples from the area for </w:t>
            </w:r>
            <w:proofErr w:type="spellStart"/>
            <w:r>
              <w:t>macrofaunal</w:t>
            </w:r>
            <w:proofErr w:type="spellEnd"/>
            <w:r>
              <w:t xml:space="preserve"> analysis to monitor the levels of deep sea biodiversity</w:t>
            </w:r>
          </w:p>
          <w:p w:rsidR="00051674" w:rsidRDefault="00051674" w:rsidP="00051674">
            <w:pPr>
              <w:pStyle w:val="Bullet1"/>
            </w:pPr>
            <w:r>
              <w:t xml:space="preserve">Leaving areas within a Licence Area un-mined to increase the rate of </w:t>
            </w:r>
            <w:proofErr w:type="spellStart"/>
            <w:r>
              <w:t>recolonisation</w:t>
            </w:r>
            <w:proofErr w:type="spellEnd"/>
            <w:r>
              <w:t xml:space="preserve"> and recovery of benthic fauna;</w:t>
            </w:r>
          </w:p>
          <w:p w:rsidR="00B2150A" w:rsidRPr="00AA1588" w:rsidRDefault="00051674" w:rsidP="00DA3484">
            <w:pPr>
              <w:pStyle w:val="Bullet1"/>
            </w:pPr>
            <w:r>
              <w:t>Excluding areas from mining if they support unique populations of marine life</w:t>
            </w:r>
          </w:p>
        </w:tc>
      </w:tr>
      <w:tr w:rsidR="00FA636B" w:rsidRPr="00162D9E" w:rsidTr="00685C40">
        <w:trPr>
          <w:cnfStyle w:val="000000100000" w:firstRow="0" w:lastRow="0" w:firstColumn="0" w:lastColumn="0" w:oddVBand="0" w:evenVBand="0" w:oddHBand="1" w:evenHBand="0" w:firstRowFirstColumn="0" w:firstRowLastColumn="0" w:lastRowFirstColumn="0" w:lastRowLastColumn="0"/>
        </w:trPr>
        <w:tc>
          <w:tcPr>
            <w:tcW w:w="433" w:type="pct"/>
            <w:vMerge/>
            <w:shd w:val="clear" w:color="auto" w:fill="auto"/>
          </w:tcPr>
          <w:p w:rsidR="00FA636B" w:rsidRDefault="00FA636B" w:rsidP="00BB0136">
            <w:pPr>
              <w:pStyle w:val="TableTextLeft"/>
            </w:pPr>
          </w:p>
        </w:tc>
        <w:tc>
          <w:tcPr>
            <w:tcW w:w="767" w:type="pct"/>
            <w:vMerge/>
            <w:shd w:val="clear" w:color="auto" w:fill="auto"/>
          </w:tcPr>
          <w:p w:rsidR="00FA636B" w:rsidRPr="00F46C0E" w:rsidRDefault="00FA636B" w:rsidP="00F46C0E"/>
        </w:tc>
        <w:tc>
          <w:tcPr>
            <w:tcW w:w="600" w:type="pct"/>
            <w:shd w:val="clear" w:color="auto" w:fill="auto"/>
          </w:tcPr>
          <w:p w:rsidR="00FA636B" w:rsidRPr="00D479AE" w:rsidRDefault="00FA636B" w:rsidP="006A7D9C">
            <w:pPr>
              <w:pStyle w:val="TableBullet1"/>
              <w:spacing w:before="120"/>
            </w:pPr>
            <w:r w:rsidRPr="008431E3">
              <w:rPr>
                <w:rFonts w:eastAsiaTheme="minorHAnsi" w:cstheme="minorBidi"/>
              </w:rPr>
              <w:t>Changes to ecosystem structure</w:t>
            </w:r>
          </w:p>
        </w:tc>
        <w:tc>
          <w:tcPr>
            <w:tcW w:w="1600" w:type="pct"/>
            <w:shd w:val="clear" w:color="auto" w:fill="auto"/>
          </w:tcPr>
          <w:p w:rsidR="00FA636B" w:rsidRPr="00AA1588" w:rsidRDefault="00FA636B" w:rsidP="00AA1588">
            <w:r w:rsidRPr="00AA1588">
              <w:t xml:space="preserve">Impacts from DSM operations may lead to variations in the predator-prey relationships, species abundance, ecosystem structures and biodiversity.  This can include affecting the productivity of chemosynthetic organisms at the base of any food webs.  In addition, motile organisms may move out of </w:t>
            </w:r>
            <w:r w:rsidRPr="00AA1588">
              <w:lastRenderedPageBreak/>
              <w:t>the area in search of a more favourable environment.</w:t>
            </w:r>
          </w:p>
        </w:tc>
        <w:tc>
          <w:tcPr>
            <w:tcW w:w="1600" w:type="pct"/>
            <w:shd w:val="clear" w:color="auto" w:fill="auto"/>
          </w:tcPr>
          <w:p w:rsidR="00FA636B" w:rsidRPr="00950F86" w:rsidRDefault="00FA636B" w:rsidP="00BB0136">
            <w:pPr>
              <w:rPr>
                <w:u w:val="single"/>
              </w:rPr>
            </w:pPr>
            <w:r w:rsidRPr="00950F86">
              <w:rPr>
                <w:u w:val="single"/>
              </w:rPr>
              <w:lastRenderedPageBreak/>
              <w:t>Potential mitigation measures</w:t>
            </w:r>
          </w:p>
          <w:p w:rsidR="00FA636B" w:rsidRPr="00AA1588" w:rsidRDefault="00051674" w:rsidP="00DA3484">
            <w:pPr>
              <w:pStyle w:val="Bullet1"/>
            </w:pPr>
            <w:r>
              <w:t xml:space="preserve">Recovery of benthic samples and trawls from the area for </w:t>
            </w:r>
            <w:proofErr w:type="spellStart"/>
            <w:r>
              <w:t>macrofaunal</w:t>
            </w:r>
            <w:proofErr w:type="spellEnd"/>
            <w:r>
              <w:t xml:space="preserve"> and fish species analysis to monitor the levels of deep sea biodiversity and communities.</w:t>
            </w:r>
          </w:p>
        </w:tc>
      </w:tr>
      <w:tr w:rsidR="00FA636B" w:rsidRPr="00162D9E" w:rsidTr="00685C40">
        <w:trPr>
          <w:cnfStyle w:val="000000010000" w:firstRow="0" w:lastRow="0" w:firstColumn="0" w:lastColumn="0" w:oddVBand="0" w:evenVBand="0" w:oddHBand="0" w:evenHBand="1" w:firstRowFirstColumn="0" w:firstRowLastColumn="0" w:lastRowFirstColumn="0" w:lastRowLastColumn="0"/>
        </w:trPr>
        <w:tc>
          <w:tcPr>
            <w:tcW w:w="433" w:type="pct"/>
            <w:vMerge/>
            <w:shd w:val="clear" w:color="auto" w:fill="auto"/>
          </w:tcPr>
          <w:p w:rsidR="00FA636B" w:rsidRDefault="00FA636B" w:rsidP="00BB0136">
            <w:pPr>
              <w:pStyle w:val="TableTextLeft"/>
            </w:pPr>
          </w:p>
        </w:tc>
        <w:tc>
          <w:tcPr>
            <w:tcW w:w="767" w:type="pct"/>
            <w:vMerge/>
            <w:shd w:val="clear" w:color="auto" w:fill="auto"/>
          </w:tcPr>
          <w:p w:rsidR="00FA636B" w:rsidRPr="00F46C0E" w:rsidRDefault="00FA636B" w:rsidP="00F46C0E"/>
        </w:tc>
        <w:tc>
          <w:tcPr>
            <w:tcW w:w="600" w:type="pct"/>
            <w:shd w:val="clear" w:color="auto" w:fill="auto"/>
          </w:tcPr>
          <w:p w:rsidR="00FA636B" w:rsidRPr="00D479AE" w:rsidRDefault="00FA636B" w:rsidP="0019570C">
            <w:pPr>
              <w:pStyle w:val="TableBullet1"/>
              <w:spacing w:before="120"/>
            </w:pPr>
            <w:r w:rsidRPr="008431E3">
              <w:rPr>
                <w:rFonts w:eastAsiaTheme="minorHAnsi" w:cstheme="minorBidi"/>
              </w:rPr>
              <w:t xml:space="preserve">Release of </w:t>
            </w:r>
            <w:r>
              <w:rPr>
                <w:rFonts w:eastAsiaTheme="minorHAnsi" w:cstheme="minorBidi"/>
              </w:rPr>
              <w:t>naturally occurring heavy metals and hydrocarbon compounds</w:t>
            </w:r>
          </w:p>
        </w:tc>
        <w:tc>
          <w:tcPr>
            <w:tcW w:w="1600" w:type="pct"/>
            <w:shd w:val="clear" w:color="auto" w:fill="auto"/>
          </w:tcPr>
          <w:p w:rsidR="00FA636B" w:rsidRPr="00AA1588" w:rsidRDefault="00FA636B" w:rsidP="00AA1588">
            <w:r w:rsidRPr="00AA1588">
              <w:t>Mining equipment and the mining process may lead to the resuspension of naturally occurring, entrained contaminants (e.g. heavy metals or hydrocarbons).  This will result in a localised deterioration in water quality, and consequently lead to additional stress on local benthic communities.</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FA636B" w:rsidRDefault="00051674" w:rsidP="00DA3484">
            <w:pPr>
              <w:pStyle w:val="Bullet1"/>
            </w:pPr>
            <w:r>
              <w:t>Excluding areas from mining if they support unique populations of marine life</w:t>
            </w:r>
          </w:p>
          <w:p w:rsidR="00C840F8" w:rsidRPr="00AA1588" w:rsidRDefault="00C840F8" w:rsidP="00DA3484">
            <w:pPr>
              <w:pStyle w:val="Bullet1"/>
            </w:pPr>
            <w:r>
              <w:t>Conduct routine monitoring of water and sediment quality in the vicinity of the proposed mining sites.</w:t>
            </w:r>
          </w:p>
        </w:tc>
      </w:tr>
      <w:tr w:rsidR="00FA636B" w:rsidRPr="00162D9E" w:rsidTr="00685C40">
        <w:trPr>
          <w:cnfStyle w:val="000000100000" w:firstRow="0" w:lastRow="0" w:firstColumn="0" w:lastColumn="0" w:oddVBand="0" w:evenVBand="0" w:oddHBand="1" w:evenHBand="0" w:firstRowFirstColumn="0" w:firstRowLastColumn="0" w:lastRowFirstColumn="0" w:lastRowLastColumn="0"/>
        </w:trPr>
        <w:tc>
          <w:tcPr>
            <w:tcW w:w="433" w:type="pct"/>
            <w:vMerge/>
            <w:shd w:val="clear" w:color="auto" w:fill="auto"/>
          </w:tcPr>
          <w:p w:rsidR="00FA636B" w:rsidRDefault="00FA636B" w:rsidP="00BB0136">
            <w:pPr>
              <w:pStyle w:val="TableTextLeft"/>
            </w:pPr>
          </w:p>
        </w:tc>
        <w:tc>
          <w:tcPr>
            <w:tcW w:w="767" w:type="pct"/>
            <w:vMerge/>
            <w:shd w:val="clear" w:color="auto" w:fill="auto"/>
          </w:tcPr>
          <w:p w:rsidR="00FA636B" w:rsidRPr="00F46C0E" w:rsidRDefault="00FA636B" w:rsidP="00F46C0E"/>
        </w:tc>
        <w:tc>
          <w:tcPr>
            <w:tcW w:w="600" w:type="pct"/>
            <w:shd w:val="clear" w:color="auto" w:fill="auto"/>
          </w:tcPr>
          <w:p w:rsidR="00FA636B" w:rsidRPr="00D479AE" w:rsidRDefault="00FA636B" w:rsidP="006A7D9C">
            <w:pPr>
              <w:pStyle w:val="TableBullet1"/>
              <w:spacing w:before="120"/>
            </w:pPr>
            <w:r w:rsidRPr="008431E3">
              <w:rPr>
                <w:rFonts w:eastAsiaTheme="minorHAnsi" w:cstheme="minorBidi"/>
              </w:rPr>
              <w:t>Increase in suspended sediment</w:t>
            </w:r>
          </w:p>
        </w:tc>
        <w:tc>
          <w:tcPr>
            <w:tcW w:w="1600" w:type="pct"/>
            <w:shd w:val="clear" w:color="auto" w:fill="auto"/>
          </w:tcPr>
          <w:p w:rsidR="00FA636B" w:rsidRPr="00AA1588" w:rsidRDefault="00FA636B" w:rsidP="00AA1588">
            <w:r w:rsidRPr="00AA1588">
              <w:t xml:space="preserve">Sediment disturbance, mobilisation, transport and redistribution will occur in the immediate vicinity of the DSM operations.  The increased levels of particulate matter at the seabed may lead to smothering of sessile organisms, and the clogging of suspension feeders.  </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FA636B" w:rsidRPr="00AA1588" w:rsidRDefault="00DA3484" w:rsidP="00DA3484">
            <w:pPr>
              <w:pStyle w:val="Bullet1"/>
            </w:pPr>
            <w:r>
              <w:t xml:space="preserve">Minimise </w:t>
            </w:r>
            <w:r w:rsidR="00C840F8">
              <w:t xml:space="preserve">the </w:t>
            </w:r>
            <w:r w:rsidR="00FF7353">
              <w:t>duration</w:t>
            </w:r>
            <w:r w:rsidR="00C840F8">
              <w:t xml:space="preserve"> of excavation operations </w:t>
            </w:r>
            <w:r>
              <w:t xml:space="preserve">through efficient project planning </w:t>
            </w:r>
            <w:r w:rsidR="00C840F8">
              <w:t>to reduce the level of</w:t>
            </w:r>
            <w:r>
              <w:t xml:space="preserve"> sediment</w:t>
            </w:r>
            <w:r w:rsidR="00C840F8">
              <w:t xml:space="preserve"> re-suspension.</w:t>
            </w:r>
          </w:p>
        </w:tc>
      </w:tr>
      <w:tr w:rsidR="00FA636B" w:rsidRPr="00162D9E" w:rsidTr="00685C40">
        <w:trPr>
          <w:cnfStyle w:val="000000010000" w:firstRow="0" w:lastRow="0" w:firstColumn="0" w:lastColumn="0" w:oddVBand="0" w:evenVBand="0" w:oddHBand="0" w:evenHBand="1" w:firstRowFirstColumn="0" w:firstRowLastColumn="0" w:lastRowFirstColumn="0" w:lastRowLastColumn="0"/>
        </w:trPr>
        <w:tc>
          <w:tcPr>
            <w:tcW w:w="433" w:type="pct"/>
            <w:vMerge/>
            <w:shd w:val="clear" w:color="auto" w:fill="auto"/>
          </w:tcPr>
          <w:p w:rsidR="00FA636B" w:rsidRDefault="00FA636B" w:rsidP="00BB0136">
            <w:pPr>
              <w:pStyle w:val="TableTextLeft"/>
            </w:pPr>
          </w:p>
        </w:tc>
        <w:tc>
          <w:tcPr>
            <w:tcW w:w="767" w:type="pct"/>
            <w:vMerge/>
            <w:shd w:val="clear" w:color="auto" w:fill="auto"/>
          </w:tcPr>
          <w:p w:rsidR="00FA636B" w:rsidRPr="00F46C0E" w:rsidRDefault="00FA636B" w:rsidP="00F46C0E"/>
        </w:tc>
        <w:tc>
          <w:tcPr>
            <w:tcW w:w="600" w:type="pct"/>
            <w:shd w:val="clear" w:color="auto" w:fill="auto"/>
          </w:tcPr>
          <w:p w:rsidR="00FA636B" w:rsidRPr="00D479AE" w:rsidRDefault="00FA636B" w:rsidP="006A7D9C">
            <w:pPr>
              <w:pStyle w:val="TableBullet1"/>
              <w:spacing w:before="120"/>
            </w:pPr>
            <w:r w:rsidRPr="008431E3">
              <w:rPr>
                <w:rFonts w:eastAsiaTheme="minorHAnsi" w:cstheme="minorBidi"/>
              </w:rPr>
              <w:t>Removal of hard substrate (community shift)</w:t>
            </w:r>
          </w:p>
        </w:tc>
        <w:tc>
          <w:tcPr>
            <w:tcW w:w="1600" w:type="pct"/>
            <w:shd w:val="clear" w:color="auto" w:fill="auto"/>
          </w:tcPr>
          <w:p w:rsidR="00FA636B" w:rsidRPr="00AA1588" w:rsidRDefault="00FA636B" w:rsidP="00AA1588">
            <w:r w:rsidRPr="00AA1588">
              <w:t>The removal of manganese nodules or the cobalt rich crusts from the seafloor will deprive the area of a source of hard substrate.  Numerous organisms, such as cold water corals, require hard substrate in order for juveniles to settle.</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FA636B" w:rsidRPr="00AA1588" w:rsidRDefault="00C840F8" w:rsidP="00DA3484">
            <w:pPr>
              <w:pStyle w:val="Bullet1"/>
            </w:pPr>
            <w:r>
              <w:t>Habitat compensation - install additional hard substrate on the seabed, composed of chemically inert material (e.g. rock placement), to replace the habitat removed during the mining operations.</w:t>
            </w:r>
          </w:p>
        </w:tc>
      </w:tr>
      <w:tr w:rsidR="00FA636B" w:rsidRPr="00162D9E" w:rsidTr="00685C40">
        <w:trPr>
          <w:cnfStyle w:val="000000100000" w:firstRow="0" w:lastRow="0" w:firstColumn="0" w:lastColumn="0" w:oddVBand="0" w:evenVBand="0" w:oddHBand="1" w:evenHBand="0" w:firstRowFirstColumn="0" w:firstRowLastColumn="0" w:lastRowFirstColumn="0" w:lastRowLastColumn="0"/>
        </w:trPr>
        <w:tc>
          <w:tcPr>
            <w:tcW w:w="433" w:type="pct"/>
            <w:vMerge/>
            <w:shd w:val="clear" w:color="auto" w:fill="auto"/>
          </w:tcPr>
          <w:p w:rsidR="00FA636B" w:rsidRDefault="00FA636B" w:rsidP="00BB0136">
            <w:pPr>
              <w:pStyle w:val="TableTextLeft"/>
            </w:pPr>
          </w:p>
        </w:tc>
        <w:tc>
          <w:tcPr>
            <w:tcW w:w="767" w:type="pct"/>
            <w:vMerge/>
            <w:shd w:val="clear" w:color="auto" w:fill="auto"/>
          </w:tcPr>
          <w:p w:rsidR="00FA636B" w:rsidRPr="00F46C0E" w:rsidRDefault="00FA636B" w:rsidP="00F46C0E"/>
        </w:tc>
        <w:tc>
          <w:tcPr>
            <w:tcW w:w="600" w:type="pct"/>
            <w:shd w:val="clear" w:color="auto" w:fill="auto"/>
          </w:tcPr>
          <w:p w:rsidR="00FA636B" w:rsidRPr="008431E3" w:rsidRDefault="00FA636B" w:rsidP="00BB0136">
            <w:pPr>
              <w:pStyle w:val="TableBullet1"/>
              <w:spacing w:before="120"/>
              <w:rPr>
                <w:spacing w:val="-2"/>
              </w:rPr>
            </w:pPr>
            <w:r>
              <w:rPr>
                <w:spacing w:val="-2"/>
              </w:rPr>
              <w:t>Sediment compression</w:t>
            </w:r>
          </w:p>
        </w:tc>
        <w:tc>
          <w:tcPr>
            <w:tcW w:w="1600" w:type="pct"/>
            <w:shd w:val="clear" w:color="auto" w:fill="auto"/>
          </w:tcPr>
          <w:p w:rsidR="00FA636B" w:rsidRPr="00AA1588" w:rsidRDefault="00FA636B" w:rsidP="00C83034">
            <w:r w:rsidRPr="00AA1588">
              <w:t>Subsea mining systems have an operational requirement to be mobile in order to gather sufficient resources.  These systems tend to be relatively heavy (approximately 200 tonnes (Nautilus Minerals, 2008)) in order to tolerate the water pressures at the seabed.  Therefore the pressure from the subsea mining system tracks on the sediment will lead to a compression of the surficial sediments</w:t>
            </w:r>
            <w:r>
              <w:t xml:space="preserve">.  This may make </w:t>
            </w:r>
            <w:r w:rsidRPr="00AA1588">
              <w:t>recolonization and community recovery by burrowing fauna more difficult.</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C840F8" w:rsidRDefault="00C840F8" w:rsidP="00C840F8">
            <w:pPr>
              <w:pStyle w:val="Bullet1"/>
            </w:pPr>
            <w:r>
              <w:t>Leav</w:t>
            </w:r>
            <w:r w:rsidR="0009657E">
              <w:t>e</w:t>
            </w:r>
            <w:r>
              <w:t xml:space="preserve"> areas within a Licence Area un-mined to increase the rate of </w:t>
            </w:r>
            <w:proofErr w:type="spellStart"/>
            <w:r>
              <w:t>recolonisation</w:t>
            </w:r>
            <w:proofErr w:type="spellEnd"/>
            <w:r>
              <w:t xml:space="preserve"> and recovery of benthic fauna;</w:t>
            </w:r>
          </w:p>
          <w:p w:rsidR="00FA636B" w:rsidRPr="00AA1588" w:rsidRDefault="0009657E" w:rsidP="00DA3484">
            <w:pPr>
              <w:pStyle w:val="Bullet1"/>
            </w:pPr>
            <w:r>
              <w:t>Limit the movement of tracked vehicles to pre-planned pathways and routes</w:t>
            </w:r>
          </w:p>
        </w:tc>
      </w:tr>
      <w:tr w:rsidR="00FA636B" w:rsidRPr="00162D9E" w:rsidTr="00685C40">
        <w:trPr>
          <w:cnfStyle w:val="000000010000" w:firstRow="0" w:lastRow="0" w:firstColumn="0" w:lastColumn="0" w:oddVBand="0" w:evenVBand="0" w:oddHBand="0" w:evenHBand="1" w:firstRowFirstColumn="0" w:firstRowLastColumn="0" w:lastRowFirstColumn="0" w:lastRowLastColumn="0"/>
        </w:trPr>
        <w:tc>
          <w:tcPr>
            <w:tcW w:w="433" w:type="pct"/>
            <w:vMerge/>
            <w:shd w:val="clear" w:color="auto" w:fill="auto"/>
          </w:tcPr>
          <w:p w:rsidR="00FA636B" w:rsidRDefault="00FA636B" w:rsidP="00BB0136">
            <w:pPr>
              <w:pStyle w:val="TableTextLeft"/>
            </w:pPr>
          </w:p>
        </w:tc>
        <w:tc>
          <w:tcPr>
            <w:tcW w:w="767" w:type="pct"/>
            <w:vMerge/>
            <w:shd w:val="clear" w:color="auto" w:fill="auto"/>
          </w:tcPr>
          <w:p w:rsidR="00FA636B" w:rsidRPr="00F46C0E" w:rsidRDefault="00FA636B" w:rsidP="00F46C0E"/>
        </w:tc>
        <w:tc>
          <w:tcPr>
            <w:tcW w:w="600" w:type="pct"/>
            <w:shd w:val="clear" w:color="auto" w:fill="auto"/>
          </w:tcPr>
          <w:p w:rsidR="00FA636B" w:rsidRPr="00D479AE" w:rsidRDefault="00FA636B" w:rsidP="006A7D9C">
            <w:pPr>
              <w:pStyle w:val="TableBullet1"/>
              <w:spacing w:before="120"/>
            </w:pPr>
            <w:r w:rsidRPr="008431E3">
              <w:rPr>
                <w:rFonts w:eastAsiaTheme="minorHAnsi" w:cstheme="minorBidi"/>
              </w:rPr>
              <w:t>Changes to flow rates from vents</w:t>
            </w:r>
          </w:p>
        </w:tc>
        <w:tc>
          <w:tcPr>
            <w:tcW w:w="1600" w:type="pct"/>
            <w:shd w:val="clear" w:color="auto" w:fill="auto"/>
          </w:tcPr>
          <w:p w:rsidR="00FA636B" w:rsidRPr="00AA1588" w:rsidRDefault="00FA636B" w:rsidP="00E155CB">
            <w:r w:rsidRPr="00AA1588">
              <w:t>Mining in the vicinity of hydrothermal vents may lead to alterations in the temperature and flow rate of vent fluids</w:t>
            </w:r>
            <w:r>
              <w:t xml:space="preserve"> as overlying sediment is moved or re-suspended, or the chimneys are damaged or mined by the seabed vehicles</w:t>
            </w:r>
            <w:r w:rsidRPr="00AA1588">
              <w:t>.  This may have an impact on the benthic communities as they exist in a delicate state of equilibrium.</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C840F8" w:rsidRDefault="00C840F8" w:rsidP="00DA3484">
            <w:pPr>
              <w:pStyle w:val="Bullet1"/>
            </w:pPr>
            <w:r>
              <w:t>Monitoring stations in the vicinity of hydrothermal vents should be set up.  The stations should monitor flow rate, temperature and water quality</w:t>
            </w:r>
          </w:p>
          <w:p w:rsidR="00C840F8" w:rsidRPr="00AA1588" w:rsidRDefault="00C840F8" w:rsidP="00DA3484">
            <w:pPr>
              <w:pStyle w:val="Bullet1"/>
            </w:pPr>
            <w:r>
              <w:t xml:space="preserve">Collection of </w:t>
            </w:r>
            <w:proofErr w:type="spellStart"/>
            <w:r>
              <w:t>macrofaunal</w:t>
            </w:r>
            <w:proofErr w:type="spellEnd"/>
            <w:r>
              <w:t xml:space="preserve"> samples for the ongoing analysis of benthic communities should also be considered.</w:t>
            </w:r>
          </w:p>
        </w:tc>
      </w:tr>
      <w:tr w:rsidR="00FA636B" w:rsidRPr="00162D9E" w:rsidTr="00685C40">
        <w:trPr>
          <w:cnfStyle w:val="000000100000" w:firstRow="0" w:lastRow="0" w:firstColumn="0" w:lastColumn="0" w:oddVBand="0" w:evenVBand="0" w:oddHBand="1" w:evenHBand="0" w:firstRowFirstColumn="0" w:firstRowLastColumn="0" w:lastRowFirstColumn="0" w:lastRowLastColumn="0"/>
        </w:trPr>
        <w:tc>
          <w:tcPr>
            <w:tcW w:w="433" w:type="pct"/>
            <w:vMerge/>
            <w:shd w:val="clear" w:color="auto" w:fill="auto"/>
          </w:tcPr>
          <w:p w:rsidR="00FA636B" w:rsidRDefault="00FA636B" w:rsidP="00BB0136">
            <w:pPr>
              <w:pStyle w:val="TableTextLeft"/>
            </w:pPr>
          </w:p>
        </w:tc>
        <w:tc>
          <w:tcPr>
            <w:tcW w:w="767" w:type="pct"/>
            <w:vMerge/>
            <w:shd w:val="clear" w:color="auto" w:fill="auto"/>
          </w:tcPr>
          <w:p w:rsidR="00FA636B" w:rsidRPr="00F46C0E" w:rsidRDefault="00FA636B" w:rsidP="00F46C0E"/>
        </w:tc>
        <w:tc>
          <w:tcPr>
            <w:tcW w:w="600" w:type="pct"/>
            <w:shd w:val="clear" w:color="auto" w:fill="auto"/>
          </w:tcPr>
          <w:p w:rsidR="00FA636B" w:rsidRDefault="00FA636B" w:rsidP="00BB0136">
            <w:pPr>
              <w:pStyle w:val="TableBullet1"/>
              <w:spacing w:before="120"/>
              <w:rPr>
                <w:spacing w:val="-2"/>
              </w:rPr>
            </w:pPr>
            <w:r>
              <w:rPr>
                <w:spacing w:val="-2"/>
              </w:rPr>
              <w:t>Increase in ambient light levels in deep sea environment</w:t>
            </w:r>
          </w:p>
        </w:tc>
        <w:tc>
          <w:tcPr>
            <w:tcW w:w="1600" w:type="pct"/>
            <w:shd w:val="clear" w:color="auto" w:fill="auto"/>
          </w:tcPr>
          <w:p w:rsidR="00FA636B" w:rsidRPr="00AA1588" w:rsidRDefault="00FA636B" w:rsidP="00AA1588">
            <w:r w:rsidRPr="00AA1588">
              <w:t>Organisms in the deep sea are adapted to extreme low-light conditions. Over 99% of sunlight is absorbed by the first 200 metres of water, there is zero light below 1</w:t>
            </w:r>
            <w:r>
              <w:t>,</w:t>
            </w:r>
            <w:r w:rsidRPr="00AA1588">
              <w:t>000 metres of water (NOAA, 2015).  The use of underwater lights to provide illumination for DSM operations may lead to physiological damage to benthic communities</w:t>
            </w:r>
            <w:r>
              <w:t xml:space="preserve"> and individuals</w:t>
            </w:r>
            <w:r w:rsidRPr="00AA1588">
              <w:t xml:space="preserve"> in the area</w:t>
            </w:r>
            <w:r>
              <w:t xml:space="preserve"> that are adapted to low light conditions</w:t>
            </w:r>
            <w:r w:rsidRPr="00AA1588">
              <w:t>.</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C840F8" w:rsidRPr="00C840F8" w:rsidRDefault="00C840F8" w:rsidP="00C840F8">
            <w:pPr>
              <w:pStyle w:val="Bullet1"/>
            </w:pPr>
            <w:r w:rsidRPr="00C840F8">
              <w:t>Turn off lights while equipment is idle</w:t>
            </w:r>
          </w:p>
          <w:p w:rsidR="00FA636B" w:rsidRPr="00AA1588" w:rsidRDefault="00C840F8" w:rsidP="00DA3484">
            <w:pPr>
              <w:pStyle w:val="Bullet1"/>
            </w:pPr>
            <w:r>
              <w:t>Consider the use of alternative vision systems e.g. Infra-red illuminators and camera systems</w:t>
            </w:r>
          </w:p>
        </w:tc>
      </w:tr>
      <w:tr w:rsidR="00FA636B" w:rsidRPr="00162D9E" w:rsidTr="00685C40">
        <w:trPr>
          <w:cnfStyle w:val="000000010000" w:firstRow="0" w:lastRow="0" w:firstColumn="0" w:lastColumn="0" w:oddVBand="0" w:evenVBand="0" w:oddHBand="0" w:evenHBand="1" w:firstRowFirstColumn="0" w:firstRowLastColumn="0" w:lastRowFirstColumn="0" w:lastRowLastColumn="0"/>
        </w:trPr>
        <w:tc>
          <w:tcPr>
            <w:tcW w:w="433" w:type="pct"/>
            <w:vMerge w:val="restart"/>
            <w:shd w:val="clear" w:color="auto" w:fill="auto"/>
          </w:tcPr>
          <w:p w:rsidR="00FA636B" w:rsidRPr="00A717A6" w:rsidRDefault="00FA636B" w:rsidP="00A717A6">
            <w:r w:rsidRPr="00A717A6">
              <w:t>Unplanned events</w:t>
            </w:r>
          </w:p>
        </w:tc>
        <w:tc>
          <w:tcPr>
            <w:tcW w:w="767" w:type="pct"/>
            <w:vMerge w:val="restart"/>
            <w:shd w:val="clear" w:color="auto" w:fill="auto"/>
          </w:tcPr>
          <w:p w:rsidR="00FA636B" w:rsidRPr="00A717A6" w:rsidRDefault="00FA636B" w:rsidP="00F203AA">
            <w:r w:rsidRPr="00E028A9">
              <w:t xml:space="preserve">All offshore </w:t>
            </w:r>
            <w:r w:rsidRPr="007942C4">
              <w:t>activities</w:t>
            </w:r>
            <w:r w:rsidRPr="00E028A9">
              <w:t xml:space="preserve"> carry the </w:t>
            </w:r>
            <w:r>
              <w:t xml:space="preserve">an element of </w:t>
            </w:r>
            <w:r w:rsidRPr="00E028A9">
              <w:t>risk</w:t>
            </w:r>
            <w:r>
              <w:t xml:space="preserve">.  Although not every risk can be planned and mitigated, the most likely ones are vessel collisions and the failure of seabed equipment. </w:t>
            </w:r>
          </w:p>
        </w:tc>
        <w:tc>
          <w:tcPr>
            <w:tcW w:w="600" w:type="pct"/>
            <w:shd w:val="clear" w:color="auto" w:fill="auto"/>
          </w:tcPr>
          <w:p w:rsidR="00FA636B" w:rsidRPr="008431E3" w:rsidRDefault="00FA636B" w:rsidP="006A7D9C">
            <w:pPr>
              <w:pStyle w:val="TableBullet1"/>
              <w:spacing w:before="120"/>
            </w:pPr>
            <w:r>
              <w:t>Vessel collisions</w:t>
            </w:r>
          </w:p>
        </w:tc>
        <w:tc>
          <w:tcPr>
            <w:tcW w:w="1600" w:type="pct"/>
            <w:shd w:val="clear" w:color="auto" w:fill="auto"/>
          </w:tcPr>
          <w:p w:rsidR="00FA636B" w:rsidRDefault="00FA636B" w:rsidP="00AA1588">
            <w:r>
              <w:t>There are likely to be a number of vessels involved with DSM operations.  Vessel collisions may involve contact between support vessels and the MSV (whether during transit to the site from port, or while installed over the mining area), or between support vessels / MSV and non-project related vessels (e.g. cargo ships or fishing vessels).  Collisions can cause the loss of the both vessels fuel inventory (hydrocarbons) which will lead to a deterioration in the marine environment, other impacts may result in injury or damage to:</w:t>
            </w:r>
          </w:p>
          <w:p w:rsidR="00FA636B" w:rsidRDefault="00FA636B" w:rsidP="00F203AA">
            <w:pPr>
              <w:pStyle w:val="TableBullet1"/>
            </w:pPr>
            <w:r>
              <w:t>Personnel;</w:t>
            </w:r>
          </w:p>
          <w:p w:rsidR="00FA636B" w:rsidRDefault="00FA636B" w:rsidP="00F203AA">
            <w:pPr>
              <w:pStyle w:val="TableBullet1"/>
            </w:pPr>
            <w:r>
              <w:t>Surface assets and equipment;</w:t>
            </w:r>
          </w:p>
          <w:p w:rsidR="00FA636B" w:rsidRDefault="00FA636B" w:rsidP="00F203AA">
            <w:pPr>
              <w:pStyle w:val="TableBullet1"/>
            </w:pPr>
            <w:r>
              <w:t>Subsea assets (due to the riser being connected to the MSV).</w:t>
            </w:r>
          </w:p>
          <w:p w:rsidR="00FA636B" w:rsidRPr="00162D9E" w:rsidRDefault="00FA636B" w:rsidP="00F203AA">
            <w:pPr>
              <w:pStyle w:val="TableTextLeft"/>
            </w:pPr>
            <w:r>
              <w:lastRenderedPageBreak/>
              <w:t>The severity of damage during a vessel collision event will be dependent upon the nature of the impact zone during the collision (e.g. amidships or on the bow).</w:t>
            </w:r>
          </w:p>
        </w:tc>
        <w:tc>
          <w:tcPr>
            <w:tcW w:w="1600" w:type="pct"/>
            <w:shd w:val="clear" w:color="auto" w:fill="auto"/>
          </w:tcPr>
          <w:p w:rsidR="00FA636B" w:rsidRPr="00950F86" w:rsidRDefault="00FA636B" w:rsidP="00BB0136">
            <w:pPr>
              <w:rPr>
                <w:u w:val="single"/>
              </w:rPr>
            </w:pPr>
            <w:r w:rsidRPr="00950F86">
              <w:rPr>
                <w:u w:val="single"/>
              </w:rPr>
              <w:lastRenderedPageBreak/>
              <w:t>Potential mitigation measures</w:t>
            </w:r>
          </w:p>
          <w:p w:rsidR="00B2150A" w:rsidRDefault="00B2150A" w:rsidP="00B2150A">
            <w:pPr>
              <w:pStyle w:val="Bullet1"/>
            </w:pPr>
            <w:r>
              <w:t xml:space="preserve">A vessel on stand-by at all times and monitor transiting or fishing vessels within the area and to maintain the safety exclusion zone.  Early warning radar and communication systems on board the stand-by vessel and MSV will be used to identify and communicate with any approaching vessels. </w:t>
            </w:r>
          </w:p>
          <w:p w:rsidR="00B2150A" w:rsidRDefault="00B2150A" w:rsidP="00B2150A">
            <w:pPr>
              <w:pStyle w:val="Bullet1"/>
            </w:pPr>
            <w:r>
              <w:t xml:space="preserve">Prior to operations commencing, a Notice To Mariners (or similar notification) should be prepared and issued to the government (who has issued the mining permit) and industry bodies with marine interests in the area.  </w:t>
            </w:r>
          </w:p>
          <w:p w:rsidR="00FA636B" w:rsidRDefault="00B2150A" w:rsidP="00DA3484">
            <w:pPr>
              <w:pStyle w:val="Bullet1"/>
            </w:pPr>
            <w:r>
              <w:t xml:space="preserve">The vessel to have suitable ship-board emergency response plans </w:t>
            </w:r>
            <w:r>
              <w:lastRenderedPageBreak/>
              <w:t>covering various eventualities so that the crew know what their roles and responsibilities are in the event of an incident.</w:t>
            </w:r>
          </w:p>
          <w:p w:rsidR="00B2150A" w:rsidRPr="00FF7353" w:rsidRDefault="00B2150A" w:rsidP="00DA3484">
            <w:pPr>
              <w:pStyle w:val="Bullet1"/>
            </w:pPr>
            <w:r w:rsidRPr="00031D0E">
              <w:t xml:space="preserve">All vessels </w:t>
            </w:r>
            <w:r>
              <w:t xml:space="preserve">associated with the project should </w:t>
            </w:r>
            <w:r w:rsidRPr="00031D0E">
              <w:t>meet national and international regulations for shipping including the appropriate signals and lights</w:t>
            </w:r>
            <w:r>
              <w:t xml:space="preserve"> as </w:t>
            </w:r>
            <w:r w:rsidRPr="00031D0E">
              <w:t>defined by the International Maritime Organisation (IMO) and Convention on the International Regulations for Preventing Collisions at Sea, 1972 (COLREGs)</w:t>
            </w:r>
            <w:r>
              <w:t>;</w:t>
            </w:r>
          </w:p>
        </w:tc>
      </w:tr>
      <w:tr w:rsidR="00FA636B" w:rsidRPr="00162D9E" w:rsidTr="00DA3484">
        <w:trPr>
          <w:cnfStyle w:val="000000100000" w:firstRow="0" w:lastRow="0" w:firstColumn="0" w:lastColumn="0" w:oddVBand="0" w:evenVBand="0" w:oddHBand="1" w:evenHBand="0" w:firstRowFirstColumn="0" w:firstRowLastColumn="0" w:lastRowFirstColumn="0" w:lastRowLastColumn="0"/>
        </w:trPr>
        <w:tc>
          <w:tcPr>
            <w:tcW w:w="433" w:type="pct"/>
            <w:vMerge/>
            <w:shd w:val="clear" w:color="auto" w:fill="auto"/>
          </w:tcPr>
          <w:p w:rsidR="00FA636B" w:rsidRDefault="00FA636B" w:rsidP="00BB0136">
            <w:pPr>
              <w:pStyle w:val="TableTextLeft"/>
            </w:pPr>
          </w:p>
        </w:tc>
        <w:tc>
          <w:tcPr>
            <w:tcW w:w="767" w:type="pct"/>
            <w:vMerge/>
            <w:shd w:val="clear" w:color="auto" w:fill="auto"/>
          </w:tcPr>
          <w:p w:rsidR="00FA636B" w:rsidRPr="00F46C0E" w:rsidRDefault="00FA636B" w:rsidP="00F46C0E"/>
        </w:tc>
        <w:tc>
          <w:tcPr>
            <w:tcW w:w="600" w:type="pct"/>
            <w:shd w:val="clear" w:color="auto" w:fill="auto"/>
          </w:tcPr>
          <w:p w:rsidR="00FA636B" w:rsidRDefault="00FA636B" w:rsidP="006A7D9C">
            <w:pPr>
              <w:pStyle w:val="TableBullet1"/>
              <w:spacing w:before="120"/>
            </w:pPr>
            <w:r>
              <w:t>Seabed equipment failure</w:t>
            </w:r>
          </w:p>
        </w:tc>
        <w:tc>
          <w:tcPr>
            <w:tcW w:w="1600" w:type="pct"/>
            <w:shd w:val="clear" w:color="auto" w:fill="auto"/>
          </w:tcPr>
          <w:p w:rsidR="00FA636B" w:rsidRDefault="00FA636B" w:rsidP="00AA1588">
            <w:r>
              <w:t xml:space="preserve">Seabed </w:t>
            </w:r>
            <w:r w:rsidRPr="00AA1588">
              <w:t>equipment</w:t>
            </w:r>
            <w:r>
              <w:t xml:space="preserve"> may develop leaks which allow the escape of either chemicals or hydrocarbons into the water column.  This will primarily be hydraulic oil from the various systems on the seabed, however it may include additional chemicals or leached metals from the equipment.  </w:t>
            </w:r>
          </w:p>
          <w:p w:rsidR="00FA636B" w:rsidRDefault="00FA636B" w:rsidP="00AA1588">
            <w:pPr>
              <w:pStyle w:val="TableBullet1"/>
            </w:pPr>
            <w:r>
              <w:t xml:space="preserve">Subsea systems may develop faults which allow small quantities of hydraulic oil or other chemicals to be released into the marine environment.  This would likely lead to a minor and localised deterioration in the seabed water and sediment quality conditions.  </w:t>
            </w:r>
          </w:p>
          <w:p w:rsidR="00FA636B" w:rsidRDefault="00FA636B" w:rsidP="00AA1588">
            <w:pPr>
              <w:pStyle w:val="TableBullet1"/>
            </w:pPr>
            <w:r>
              <w:t>It may be technically or economically unfeasible to recover broken equipment from the seabed.  This may lead to an additional financial difficulties for the mining operator.  The likely outcomes are either; a withdrawal from the project as the operator cannot afford to continue, or additional expenditure to retrieve the equipment (if technically possible) with potential future project implications.</w:t>
            </w:r>
          </w:p>
          <w:p w:rsidR="00FA636B" w:rsidRDefault="00FA636B" w:rsidP="00AA1588">
            <w:pPr>
              <w:pStyle w:val="TableBullet1"/>
            </w:pPr>
            <w:r>
              <w:t xml:space="preserve">The metals and chemicals leached from the system will lead to a degradation in the local environment.  This will have a negative effect on benthic communities and their ecosystem as described earlier in the document. </w:t>
            </w:r>
          </w:p>
          <w:p w:rsidR="00FA636B" w:rsidRPr="00162D9E" w:rsidRDefault="00FA636B" w:rsidP="00AA1588">
            <w:pPr>
              <w:pStyle w:val="TableBullet1"/>
            </w:pPr>
            <w:r>
              <w:t xml:space="preserve">Mining equipment left in-situ </w:t>
            </w:r>
            <w:bookmarkStart w:id="7" w:name="_GoBack"/>
            <w:bookmarkEnd w:id="7"/>
            <w:r>
              <w:t xml:space="preserve">would lead to an increase in hard substrate (positive impact) from the presence of the equipment.   </w:t>
            </w:r>
          </w:p>
        </w:tc>
        <w:tc>
          <w:tcPr>
            <w:tcW w:w="1600" w:type="pct"/>
            <w:shd w:val="clear" w:color="auto" w:fill="auto"/>
          </w:tcPr>
          <w:p w:rsidR="00FA636B" w:rsidRPr="00950F86" w:rsidRDefault="00FA636B" w:rsidP="00BB0136">
            <w:pPr>
              <w:rPr>
                <w:u w:val="single"/>
              </w:rPr>
            </w:pPr>
            <w:r w:rsidRPr="00950F86">
              <w:rPr>
                <w:u w:val="single"/>
              </w:rPr>
              <w:t>Potential mitigation measures</w:t>
            </w:r>
          </w:p>
          <w:p w:rsidR="00B2150A" w:rsidRDefault="00B2150A" w:rsidP="00B2150A">
            <w:pPr>
              <w:pStyle w:val="Bullet1"/>
            </w:pPr>
            <w:r>
              <w:t>The use of chemicals posing little or no risk (PLONOR) to the marine environment to minimise any impact from potential leaching;</w:t>
            </w:r>
          </w:p>
          <w:p w:rsidR="00B2150A" w:rsidRDefault="00B2150A" w:rsidP="00B2150A">
            <w:pPr>
              <w:pStyle w:val="Bullet1"/>
            </w:pPr>
            <w:r>
              <w:t>Regular maintenance and upkeep operations and schedules;</w:t>
            </w:r>
          </w:p>
          <w:p w:rsidR="00FA636B" w:rsidRPr="00FF7353" w:rsidRDefault="00B2150A" w:rsidP="00DA3484">
            <w:pPr>
              <w:pStyle w:val="Bullet1"/>
            </w:pPr>
            <w:r>
              <w:t>Emergency response / contingency plans in place prior to DSM operations commencing.</w:t>
            </w:r>
          </w:p>
        </w:tc>
      </w:tr>
    </w:tbl>
    <w:p w:rsidR="008431E3" w:rsidRDefault="008431E3" w:rsidP="00BB0136">
      <w:pPr>
        <w:pStyle w:val="Source"/>
      </w:pPr>
      <w:r w:rsidRPr="00AF1F01">
        <w:t xml:space="preserve">Source: </w:t>
      </w:r>
      <w:r w:rsidRPr="00AF1F01">
        <w:tab/>
      </w:r>
      <w:sdt>
        <w:sdtPr>
          <w:id w:val="2119178426"/>
          <w:placeholder>
            <w:docPart w:val="2F34BCD9C3BB469986FA7B3678008724"/>
          </w:placeholder>
          <w:temporary/>
          <w:showingPlcHdr/>
          <w:text/>
        </w:sdtPr>
        <w:sdtEndPr/>
        <w:sdtContent>
          <w:r w:rsidRPr="00C2338E">
            <w:t>&lt;Insert Source</w:t>
          </w:r>
          <w:r>
            <w:t xml:space="preserve"> or notes</w:t>
          </w:r>
          <w:r w:rsidRPr="00C2338E">
            <w:t>&gt;</w:t>
          </w:r>
        </w:sdtContent>
      </w:sdt>
    </w:p>
    <w:p w:rsidR="008431E3" w:rsidRDefault="00F46C0E" w:rsidP="00A717A6">
      <w:pPr>
        <w:pStyle w:val="Heading1"/>
      </w:pPr>
      <w:r>
        <w:t>References</w:t>
      </w:r>
    </w:p>
    <w:p w:rsidR="00D70430" w:rsidRDefault="00D70430" w:rsidP="00D70430">
      <w:r>
        <w:t xml:space="preserve">Bashir, M., Kim, S., </w:t>
      </w:r>
      <w:proofErr w:type="spellStart"/>
      <w:r>
        <w:t>Kiosidou</w:t>
      </w:r>
      <w:proofErr w:type="spellEnd"/>
      <w:r>
        <w:t xml:space="preserve">, E., </w:t>
      </w:r>
      <w:proofErr w:type="spellStart"/>
      <w:r>
        <w:t>Wolgamot</w:t>
      </w:r>
      <w:proofErr w:type="spellEnd"/>
      <w:r>
        <w:t xml:space="preserve">, H and Zhang, W.  2012.  A concept for Seabed Rare Earth Mining in the Eastern South Pacific.  </w:t>
      </w:r>
      <w:r w:rsidRPr="00650E65">
        <w:t>LRET Collegium 2012 Series</w:t>
      </w:r>
      <w:r>
        <w:t xml:space="preserve">.  Accessed 3 June, 2016.  URL: </w:t>
      </w:r>
      <w:hyperlink r:id="rId9" w:history="1">
        <w:r w:rsidRPr="00A46B9C">
          <w:rPr>
            <w:rStyle w:val="Hyperlink"/>
          </w:rPr>
          <w:t>http://www.southampton.ac.uk/assets/imported/transforms/content-block/UsefulDownloads_Download/7C8750BCBBB64FBAAF2A13C4B8A7D1FD/LRET%20Collegium%202012%20Volume%201.pdf</w:t>
        </w:r>
      </w:hyperlink>
    </w:p>
    <w:p w:rsidR="00D70430" w:rsidRDefault="00D70430" w:rsidP="00D70430">
      <w:proofErr w:type="spellStart"/>
      <w:r>
        <w:t>Weilgart</w:t>
      </w:r>
      <w:proofErr w:type="spellEnd"/>
      <w:r>
        <w:t xml:space="preserve">, L.S. (2007). </w:t>
      </w:r>
      <w:r>
        <w:rPr>
          <w:i/>
          <w:iCs/>
        </w:rPr>
        <w:t xml:space="preserve">The impacts of anthropogenic ocean noise on cetaceans and implications for management. </w:t>
      </w:r>
      <w:r>
        <w:t>Canada Journal of Zoology, 85, 1091 – 1116.</w:t>
      </w:r>
    </w:p>
    <w:p w:rsidR="00D70430" w:rsidRDefault="002407F3" w:rsidP="00D70430">
      <w:r>
        <w:t xml:space="preserve">Wright, A.J., Aguilar Soto, N., Baldwin, A.L., Bateson, M., Beale, C.M., Clark, C., </w:t>
      </w:r>
      <w:proofErr w:type="spellStart"/>
      <w:r>
        <w:t>Deak</w:t>
      </w:r>
      <w:proofErr w:type="spellEnd"/>
      <w:r>
        <w:t xml:space="preserve">, T., Edwards, E.F., Fernandez, A., </w:t>
      </w:r>
      <w:proofErr w:type="spellStart"/>
      <w:r>
        <w:t>Godinho</w:t>
      </w:r>
      <w:proofErr w:type="spellEnd"/>
      <w:r>
        <w:t xml:space="preserve">, A., Hatch, L.T., </w:t>
      </w:r>
      <w:proofErr w:type="spellStart"/>
      <w:r>
        <w:t>Kakuschke</w:t>
      </w:r>
      <w:proofErr w:type="spellEnd"/>
      <w:r>
        <w:t xml:space="preserve">, A., </w:t>
      </w:r>
      <w:proofErr w:type="spellStart"/>
      <w:r>
        <w:t>Lusseau</w:t>
      </w:r>
      <w:proofErr w:type="spellEnd"/>
      <w:r>
        <w:t xml:space="preserve">, D., Martineau, D., Romero, L.M., </w:t>
      </w:r>
      <w:proofErr w:type="spellStart"/>
      <w:r>
        <w:t>Weilgart</w:t>
      </w:r>
      <w:proofErr w:type="spellEnd"/>
      <w:r>
        <w:t xml:space="preserve">, L.S., </w:t>
      </w:r>
      <w:proofErr w:type="spellStart"/>
      <w:r>
        <w:t>Wintle</w:t>
      </w:r>
      <w:proofErr w:type="spellEnd"/>
      <w:r>
        <w:t xml:space="preserve">, B.A., </w:t>
      </w:r>
      <w:proofErr w:type="spellStart"/>
      <w:r>
        <w:t>Notarbartolo</w:t>
      </w:r>
      <w:proofErr w:type="spellEnd"/>
      <w:r>
        <w:t>-di-</w:t>
      </w:r>
      <w:proofErr w:type="spellStart"/>
      <w:r>
        <w:t>Sciara</w:t>
      </w:r>
      <w:proofErr w:type="spellEnd"/>
      <w:r>
        <w:t xml:space="preserve">, G. &amp; Martin, V. (2007). </w:t>
      </w:r>
      <w:r>
        <w:rPr>
          <w:i/>
          <w:iCs/>
        </w:rPr>
        <w:t xml:space="preserve">Do Marine Mammals Experience Stress Related to Anthropogenic Noise? </w:t>
      </w:r>
      <w:r>
        <w:t xml:space="preserve">International Journal of Comparative Psychology. </w:t>
      </w:r>
      <w:r>
        <w:rPr>
          <w:b/>
          <w:bCs/>
        </w:rPr>
        <w:t xml:space="preserve">20: </w:t>
      </w:r>
      <w:r>
        <w:t>74 – 316.</w:t>
      </w:r>
    </w:p>
    <w:p w:rsidR="00D70430" w:rsidRDefault="002407F3" w:rsidP="00D70430">
      <w:r>
        <w:t xml:space="preserve">Richardson, W.J., Greene, C.R. Jr., </w:t>
      </w:r>
      <w:proofErr w:type="spellStart"/>
      <w:r>
        <w:t>Malme</w:t>
      </w:r>
      <w:proofErr w:type="spellEnd"/>
      <w:r>
        <w:t xml:space="preserve">, C.I. &amp; Thomson, D.H. (1995). </w:t>
      </w:r>
      <w:r>
        <w:rPr>
          <w:i/>
          <w:iCs/>
        </w:rPr>
        <w:t>Marine mammals and noise. Academic Press, San Diego. Section 2.11.4.</w:t>
      </w:r>
    </w:p>
    <w:p w:rsidR="00D70430" w:rsidRDefault="002407F3" w:rsidP="00D70430">
      <w:r>
        <w:t xml:space="preserve">World Wildlife Fund (WWF) International (2009). </w:t>
      </w:r>
      <w:r>
        <w:rPr>
          <w:i/>
          <w:iCs/>
        </w:rPr>
        <w:t>Silent Invasion – The spread of marine invasive species via ships’ ballast water.</w:t>
      </w:r>
    </w:p>
    <w:p w:rsidR="002407F3" w:rsidRDefault="002407F3" w:rsidP="002407F3">
      <w:r>
        <w:t>Chen-</w:t>
      </w:r>
      <w:proofErr w:type="spellStart"/>
      <w:r>
        <w:t>Teng</w:t>
      </w:r>
      <w:proofErr w:type="spellEnd"/>
      <w:r>
        <w:t xml:space="preserve">, A.C.  2007.  Nutrient cycling in the oceans.  In “Oceanography”, ed. by J.C.J. </w:t>
      </w:r>
      <w:proofErr w:type="spellStart"/>
      <w:r>
        <w:t>Nihoul</w:t>
      </w:r>
      <w:proofErr w:type="spellEnd"/>
      <w:r>
        <w:t xml:space="preserve"> and C.T.A. Chen, in Encyclopaedia of Life Support Systems (EOLSS). </w:t>
      </w:r>
      <w:proofErr w:type="spellStart"/>
      <w:r>
        <w:t>Eolss</w:t>
      </w:r>
      <w:proofErr w:type="spellEnd"/>
      <w:r>
        <w:t xml:space="preserve"> Publishers, Oxford, UK, e-Book, Vol. 1, 331-343, 2007.</w:t>
      </w:r>
    </w:p>
    <w:p w:rsidR="002407F3" w:rsidRDefault="002407F3" w:rsidP="002407F3">
      <w:r>
        <w:t xml:space="preserve">Allsop, M., Miller, C., Atkins, R., </w:t>
      </w:r>
      <w:proofErr w:type="spellStart"/>
      <w:r>
        <w:t>Rocliffe</w:t>
      </w:r>
      <w:proofErr w:type="spellEnd"/>
      <w:r>
        <w:t xml:space="preserve">, S., Tabor, I., </w:t>
      </w:r>
      <w:proofErr w:type="spellStart"/>
      <w:r>
        <w:t>Santillo</w:t>
      </w:r>
      <w:proofErr w:type="spellEnd"/>
      <w:r>
        <w:t xml:space="preserve">, D and Johnston, P.  2013.  Review of the Current State of Development and the Potential for Environmental Impacts of Seabed Mining Operations.  </w:t>
      </w:r>
      <w:r w:rsidRPr="003D5C39">
        <w:t>Greenpeace Research Laboratories Technical Report (Review) 03-2013: 50pp</w:t>
      </w:r>
    </w:p>
    <w:p w:rsidR="002407F3" w:rsidRDefault="002407F3" w:rsidP="002407F3">
      <w:r>
        <w:t xml:space="preserve">Nautilus Minerals.  2008.  Environmental Impact Statement: </w:t>
      </w:r>
      <w:proofErr w:type="spellStart"/>
      <w:r>
        <w:t>Solwara</w:t>
      </w:r>
      <w:proofErr w:type="spellEnd"/>
      <w:r>
        <w:t xml:space="preserve"> 1 Project.  Main Report.</w:t>
      </w:r>
    </w:p>
    <w:p w:rsidR="002407F3" w:rsidRDefault="002407F3" w:rsidP="002407F3">
      <w:r>
        <w:t xml:space="preserve">National Oceanic and Atmospheric Administration (NOAA).  2015.  How far does light travel in the ocean.  Accessed: 3 June, 2016.  URL: </w:t>
      </w:r>
      <w:hyperlink r:id="rId10" w:history="1">
        <w:r w:rsidRPr="00A46B9C">
          <w:rPr>
            <w:rStyle w:val="Hyperlink"/>
          </w:rPr>
          <w:t>http://oceanservice.noaa.gov/facts/light_travel.html</w:t>
        </w:r>
      </w:hyperlink>
    </w:p>
    <w:p w:rsidR="00D70430" w:rsidRPr="00C07E7C" w:rsidRDefault="00155515" w:rsidP="00D70430">
      <w:proofErr w:type="spellStart"/>
      <w:r w:rsidRPr="00C07E7C">
        <w:lastRenderedPageBreak/>
        <w:t>Slotte</w:t>
      </w:r>
      <w:proofErr w:type="spellEnd"/>
      <w:r w:rsidRPr="00C07E7C">
        <w:t xml:space="preserve">, A., </w:t>
      </w:r>
      <w:proofErr w:type="spellStart"/>
      <w:r w:rsidRPr="00C07E7C">
        <w:t>Kansen</w:t>
      </w:r>
      <w:proofErr w:type="spellEnd"/>
      <w:r w:rsidRPr="00C07E7C">
        <w:t>, K., Dalen, J. &amp; Ona, E. (2004). Acoustic mapping of pelagic fish distribution and abundance in relation to a seismic shooting area off the Norwegian west coast. Fisheries Research 67: 143–50</w:t>
      </w:r>
    </w:p>
    <w:p w:rsidR="00D70430" w:rsidRPr="000A6FEB" w:rsidRDefault="00155515" w:rsidP="00D70430">
      <w:r w:rsidRPr="000A6FEB">
        <w:t xml:space="preserve">Pearson, W.H., </w:t>
      </w:r>
      <w:proofErr w:type="spellStart"/>
      <w:r w:rsidRPr="000A6FEB">
        <w:t>Skalski</w:t>
      </w:r>
      <w:proofErr w:type="spellEnd"/>
      <w:r w:rsidRPr="000A6FEB">
        <w:t xml:space="preserve">, J.R., </w:t>
      </w:r>
      <w:proofErr w:type="spellStart"/>
      <w:r w:rsidRPr="000A6FEB">
        <w:t>Malme</w:t>
      </w:r>
      <w:proofErr w:type="spellEnd"/>
      <w:r w:rsidRPr="000A6FEB">
        <w:t xml:space="preserve">, C.I. (1992). </w:t>
      </w:r>
      <w:r w:rsidRPr="000A6FEB">
        <w:rPr>
          <w:i/>
          <w:iCs/>
        </w:rPr>
        <w:t xml:space="preserve">Effects of sounds from a geophysical survey device on </w:t>
      </w:r>
      <w:proofErr w:type="spellStart"/>
      <w:r w:rsidRPr="000A6FEB">
        <w:rPr>
          <w:i/>
          <w:iCs/>
        </w:rPr>
        <w:t>behavior</w:t>
      </w:r>
      <w:proofErr w:type="spellEnd"/>
      <w:r w:rsidRPr="000A6FEB">
        <w:rPr>
          <w:i/>
          <w:iCs/>
        </w:rPr>
        <w:t xml:space="preserve"> of captive rockfish (Sebastes </w:t>
      </w:r>
      <w:proofErr w:type="spellStart"/>
      <w:r w:rsidRPr="000A6FEB">
        <w:rPr>
          <w:i/>
          <w:iCs/>
        </w:rPr>
        <w:t>sp</w:t>
      </w:r>
      <w:proofErr w:type="spellEnd"/>
      <w:r w:rsidRPr="000A6FEB">
        <w:rPr>
          <w:i/>
          <w:iCs/>
        </w:rPr>
        <w:t xml:space="preserve">). </w:t>
      </w:r>
      <w:r w:rsidRPr="000A6FEB">
        <w:t>Canadian Journal of Fisheries and Aquatic Sciences. 49: 1343–56.</w:t>
      </w:r>
    </w:p>
    <w:p w:rsidR="00155515" w:rsidRPr="00D70430" w:rsidRDefault="00155515" w:rsidP="00D70430">
      <w:r w:rsidRPr="000A6FEB">
        <w:t xml:space="preserve">McCauley, R.D. </w:t>
      </w:r>
      <w:proofErr w:type="spellStart"/>
      <w:r w:rsidRPr="000A6FEB">
        <w:t>Fewtrell</w:t>
      </w:r>
      <w:proofErr w:type="spellEnd"/>
      <w:r w:rsidRPr="000A6FEB">
        <w:t xml:space="preserve">, J., Duncan, A.J., Jenner, C., Jenner, M-N., Penrose, J. D., Prince, R.I.T., </w:t>
      </w:r>
      <w:proofErr w:type="spellStart"/>
      <w:r w:rsidRPr="000A6FEB">
        <w:t>Adhitya</w:t>
      </w:r>
      <w:proofErr w:type="spellEnd"/>
      <w:r w:rsidRPr="000A6FEB">
        <w:t xml:space="preserve">, A., Murdoch, J and McCabe, K. (2000). </w:t>
      </w:r>
      <w:r w:rsidRPr="000A6FEB">
        <w:rPr>
          <w:i/>
          <w:iCs/>
        </w:rPr>
        <w:t xml:space="preserve">Marine seismic surveys — a study of environmental implications. </w:t>
      </w:r>
      <w:r w:rsidRPr="000A6FEB">
        <w:t>APPEA 40:692–708.</w:t>
      </w:r>
      <w:bookmarkEnd w:id="0"/>
      <w:bookmarkEnd w:id="1"/>
      <w:bookmarkEnd w:id="2"/>
      <w:bookmarkEnd w:id="3"/>
      <w:bookmarkEnd w:id="4"/>
      <w:bookmarkEnd w:id="5"/>
    </w:p>
    <w:sectPr w:rsidR="00155515" w:rsidRPr="00D70430" w:rsidSect="005740FC">
      <w:headerReference w:type="even" r:id="rId11"/>
      <w:headerReference w:type="default" r:id="rId12"/>
      <w:footerReference w:type="even" r:id="rId13"/>
      <w:footerReference w:type="default" r:id="rId14"/>
      <w:headerReference w:type="first" r:id="rId15"/>
      <w:footerReference w:type="first" r:id="rId16"/>
      <w:type w:val="continuous"/>
      <w:pgSz w:w="23814" w:h="16839" w:orient="landscape" w:code="8"/>
      <w:pgMar w:top="1134" w:right="2835"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36" w:rsidRDefault="00BB0136" w:rsidP="000D4D4E">
      <w:pPr>
        <w:spacing w:before="0" w:line="240" w:lineRule="auto"/>
      </w:pPr>
      <w:r>
        <w:separator/>
      </w:r>
    </w:p>
    <w:p w:rsidR="00BB0136" w:rsidRDefault="00BB0136"/>
  </w:endnote>
  <w:endnote w:type="continuationSeparator" w:id="0">
    <w:p w:rsidR="00BB0136" w:rsidRDefault="00BB0136" w:rsidP="000D4D4E">
      <w:pPr>
        <w:spacing w:before="0" w:line="240" w:lineRule="auto"/>
      </w:pPr>
      <w:r>
        <w:continuationSeparator/>
      </w:r>
    </w:p>
    <w:p w:rsidR="00BB0136" w:rsidRDefault="00BB0136"/>
    <w:tbl>
      <w:tblPr>
        <w:tblpPr w:vertAnchor="page" w:horzAnchor="page" w:tblpX="1248" w:tblpY="9011"/>
        <w:tblW w:w="9524" w:type="dxa"/>
        <w:tblLayout w:type="fixed"/>
        <w:tblCellMar>
          <w:left w:w="0" w:type="dxa"/>
          <w:right w:w="0" w:type="dxa"/>
        </w:tblCellMar>
        <w:tblLook w:val="04A0" w:firstRow="1" w:lastRow="0" w:firstColumn="1" w:lastColumn="0" w:noHBand="0" w:noVBand="1"/>
      </w:tblPr>
      <w:tblGrid>
        <w:gridCol w:w="9524"/>
      </w:tblGrid>
      <w:tr w:rsidR="00BB0136" w:rsidTr="005E19ED">
        <w:trPr>
          <w:cantSplit/>
          <w:trHeight w:hRule="exact" w:val="5567"/>
        </w:trPr>
        <w:tc>
          <w:tcPr>
            <w:tcW w:w="9524" w:type="dxa"/>
          </w:tcPr>
          <w:p w:rsidR="00BB0136" w:rsidRDefault="00BB0136" w:rsidP="005E19ED">
            <w:pPr>
              <w:pStyle w:val="GraphicLeft"/>
            </w:pPr>
            <w:r>
              <w:rPr>
                <w:noProof/>
                <w:lang w:eastAsia="en-GB"/>
              </w:rPr>
              <w:drawing>
                <wp:inline distT="0" distB="0" distL="0" distR="0" wp14:anchorId="20C77735" wp14:editId="1F34F1F1">
                  <wp:extent cx="6048375" cy="3524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3524250"/>
                          </a:xfrm>
                          <a:prstGeom prst="rect">
                            <a:avLst/>
                          </a:prstGeom>
                          <a:noFill/>
                          <a:ln>
                            <a:noFill/>
                          </a:ln>
                        </pic:spPr>
                      </pic:pic>
                    </a:graphicData>
                  </a:graphic>
                </wp:inline>
              </w:drawing>
            </w:r>
          </w:p>
        </w:tc>
      </w:tr>
    </w:tbl>
    <w:p w:rsidR="00BB0136" w:rsidRDefault="00BB013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36" w:rsidRDefault="00BB0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bottomFromText="284" w:vertAnchor="text" w:horzAnchor="margin" w:tblpY="143"/>
      <w:tblOverlap w:val="never"/>
      <w:tblW w:w="56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344"/>
      <w:gridCol w:w="5954"/>
    </w:tblGrid>
    <w:tr w:rsidR="00BB0136" w:rsidTr="008431E3">
      <w:trPr>
        <w:cantSplit/>
        <w:trHeight w:hRule="exact" w:val="255"/>
      </w:trPr>
      <w:tc>
        <w:tcPr>
          <w:tcW w:w="3665" w:type="pct"/>
        </w:tcPr>
        <w:p w:rsidR="00BB0136" w:rsidRDefault="00BB0136" w:rsidP="003510BD">
          <w:pPr>
            <w:pStyle w:val="Footer"/>
          </w:pPr>
          <w:r w:rsidRPr="00644C6B">
            <w:fldChar w:fldCharType="begin"/>
          </w:r>
          <w:r w:rsidRPr="00644C6B">
            <w:instrText xml:space="preserve"> if </w:instrText>
          </w:r>
          <w:r w:rsidRPr="00644C6B">
            <w:fldChar w:fldCharType="begin"/>
          </w:r>
          <w:r w:rsidRPr="00644C6B">
            <w:instrText xml:space="preserve"> STYLEREF  ~Doc</w:instrText>
          </w:r>
          <w:r>
            <w:instrText>Date</w:instrText>
          </w:r>
          <w:r w:rsidRPr="00644C6B">
            <w:fldChar w:fldCharType="separate"/>
          </w:r>
          <w:r w:rsidR="00940CDE">
            <w:rPr>
              <w:b/>
              <w:bCs/>
              <w:noProof/>
              <w:lang w:val="en-US"/>
            </w:rPr>
            <w:instrText>Error! No text of specified style in document.</w:instrText>
          </w:r>
          <w:r w:rsidRPr="00644C6B">
            <w:fldChar w:fldCharType="end"/>
          </w:r>
          <w:r w:rsidRPr="00644C6B">
            <w:instrText xml:space="preserve"> = "Error*" "" </w:instrText>
          </w:r>
          <w:r w:rsidRPr="00644C6B">
            <w:fldChar w:fldCharType="begin"/>
          </w:r>
          <w:r w:rsidRPr="00644C6B">
            <w:instrText xml:space="preserve"> STYLEREF  ~Doc</w:instrText>
          </w:r>
          <w:r>
            <w:instrText>Date</w:instrText>
          </w:r>
          <w:r w:rsidRPr="00644C6B">
            <w:fldChar w:fldCharType="end"/>
          </w:r>
          <w:r w:rsidRPr="00644C6B">
            <w:instrText xml:space="preserve"> </w:instrText>
          </w:r>
          <w:r w:rsidRPr="00644C6B">
            <w:fldChar w:fldCharType="end"/>
          </w:r>
        </w:p>
      </w:tc>
      <w:tc>
        <w:tcPr>
          <w:tcW w:w="1335" w:type="pct"/>
        </w:tcPr>
        <w:p w:rsidR="00BB0136" w:rsidRDefault="00BB0136" w:rsidP="003510BD">
          <w:pPr>
            <w:pStyle w:val="Footer"/>
            <w:jc w:val="right"/>
          </w:pPr>
          <w:r w:rsidRPr="007B356F">
            <w:rPr>
              <w:sz w:val="20"/>
            </w:rPr>
            <w:fldChar w:fldCharType="begin"/>
          </w:r>
          <w:r>
            <w:rPr>
              <w:sz w:val="20"/>
            </w:rPr>
            <w:instrText xml:space="preserve"> PAGE  </w:instrText>
          </w:r>
          <w:r w:rsidRPr="007B356F">
            <w:rPr>
              <w:sz w:val="20"/>
            </w:rPr>
            <w:fldChar w:fldCharType="separate"/>
          </w:r>
          <w:r w:rsidR="00940CDE">
            <w:rPr>
              <w:noProof/>
              <w:sz w:val="20"/>
            </w:rPr>
            <w:t>9</w:t>
          </w:r>
          <w:r w:rsidRPr="007B356F">
            <w:rPr>
              <w:noProof/>
              <w:sz w:val="20"/>
            </w:rPr>
            <w:fldChar w:fldCharType="end"/>
          </w:r>
        </w:p>
      </w:tc>
    </w:tr>
  </w:tbl>
  <w:p w:rsidR="00BB0136" w:rsidRDefault="00BB0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36" w:rsidRDefault="00BB0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36" w:rsidRDefault="00BB0136" w:rsidP="000D4D4E">
      <w:pPr>
        <w:spacing w:before="0" w:line="240" w:lineRule="auto"/>
      </w:pPr>
      <w:r>
        <w:separator/>
      </w:r>
    </w:p>
  </w:footnote>
  <w:footnote w:type="continuationSeparator" w:id="0">
    <w:p w:rsidR="00BB0136" w:rsidRDefault="00BB0136" w:rsidP="000D4D4E">
      <w:pPr>
        <w:spacing w:before="0" w:line="240" w:lineRule="auto"/>
      </w:pPr>
      <w:r>
        <w:continuationSeparator/>
      </w:r>
    </w:p>
    <w:p w:rsidR="00BB0136" w:rsidRDefault="00BB01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36" w:rsidRDefault="00BB0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1135" w:tblpY="568"/>
      <w:tblOverlap w:val="never"/>
      <w:tblW w:w="21263" w:type="dxa"/>
      <w:tblCellMar>
        <w:left w:w="0" w:type="dxa"/>
        <w:right w:w="0" w:type="dxa"/>
      </w:tblCellMar>
      <w:tblLook w:val="0000" w:firstRow="0" w:lastRow="0" w:firstColumn="0" w:lastColumn="0" w:noHBand="0" w:noVBand="0"/>
    </w:tblPr>
    <w:tblGrid>
      <w:gridCol w:w="2003"/>
      <w:gridCol w:w="19260"/>
    </w:tblGrid>
    <w:tr w:rsidR="00BB0136" w:rsidTr="005740FC">
      <w:trPr>
        <w:trHeight w:val="611"/>
      </w:trPr>
      <w:tc>
        <w:tcPr>
          <w:tcW w:w="471" w:type="pct"/>
          <w:vMerge w:val="restart"/>
          <w:vAlign w:val="center"/>
        </w:tcPr>
        <w:p w:rsidR="00BB0136" w:rsidRDefault="00BB0136" w:rsidP="00BB0136">
          <w:pPr>
            <w:pStyle w:val="Header"/>
          </w:pPr>
          <w:r w:rsidRPr="000A6C91">
            <w:rPr>
              <w:noProof/>
              <w:lang w:eastAsia="en-GB"/>
            </w:rPr>
            <w:drawing>
              <wp:inline distT="0" distB="0" distL="0" distR="0" wp14:anchorId="0EAABBE2" wp14:editId="46F69854">
                <wp:extent cx="1260000" cy="41349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0000" cy="413493"/>
                        </a:xfrm>
                        <a:prstGeom prst="rect">
                          <a:avLst/>
                        </a:prstGeom>
                        <a:noFill/>
                        <a:ln>
                          <a:noFill/>
                        </a:ln>
                        <a:effectLst/>
                        <a:extLst/>
                      </pic:spPr>
                    </pic:pic>
                  </a:graphicData>
                </a:graphic>
              </wp:inline>
            </w:drawing>
          </w:r>
        </w:p>
      </w:tc>
      <w:tc>
        <w:tcPr>
          <w:tcW w:w="4529" w:type="pct"/>
          <w:vAlign w:val="bottom"/>
        </w:tcPr>
        <w:p w:rsidR="00BB0136" w:rsidRDefault="00BB0136" w:rsidP="00BB0136">
          <w:pPr>
            <w:pStyle w:val="Header"/>
            <w:jc w:val="right"/>
          </w:pPr>
          <w:r w:rsidRPr="00644C6B">
            <w:fldChar w:fldCharType="begin"/>
          </w:r>
          <w:r w:rsidRPr="00644C6B">
            <w:instrText xml:space="preserve"> if </w:instrText>
          </w:r>
          <w:r w:rsidRPr="00644C6B">
            <w:fldChar w:fldCharType="begin"/>
          </w:r>
          <w:r w:rsidRPr="00644C6B">
            <w:instrText xml:space="preserve"> STYLEREF  ~Doc</w:instrText>
          </w:r>
          <w:r>
            <w:instrText>Title</w:instrText>
          </w:r>
          <w:r w:rsidRPr="00644C6B">
            <w:instrText xml:space="preserve"> </w:instrText>
          </w:r>
          <w:r w:rsidRPr="00644C6B">
            <w:fldChar w:fldCharType="separate"/>
          </w:r>
          <w:r w:rsidR="00940CDE">
            <w:rPr>
              <w:noProof/>
            </w:rPr>
            <w:instrText>Deep sea mining infographic</w:instrText>
          </w:r>
          <w:r w:rsidRPr="00644C6B">
            <w:fldChar w:fldCharType="end"/>
          </w:r>
          <w:r w:rsidRPr="00644C6B">
            <w:instrText xml:space="preserve"> = "Error*" "" </w:instrText>
          </w:r>
          <w:r w:rsidRPr="00644C6B">
            <w:fldChar w:fldCharType="begin"/>
          </w:r>
          <w:r w:rsidRPr="00644C6B">
            <w:instrText xml:space="preserve"> STYLEREF  ~Doc</w:instrText>
          </w:r>
          <w:r>
            <w:instrText>Title</w:instrText>
          </w:r>
          <w:r w:rsidRPr="00644C6B">
            <w:instrText xml:space="preserve"> </w:instrText>
          </w:r>
          <w:r w:rsidRPr="00644C6B">
            <w:fldChar w:fldCharType="separate"/>
          </w:r>
          <w:r w:rsidR="00940CDE">
            <w:rPr>
              <w:noProof/>
            </w:rPr>
            <w:instrText>Deep sea mining infographic</w:instrText>
          </w:r>
          <w:r w:rsidRPr="00644C6B">
            <w:fldChar w:fldCharType="end"/>
          </w:r>
          <w:r w:rsidRPr="00644C6B">
            <w:instrText xml:space="preserve"> </w:instrText>
          </w:r>
          <w:r w:rsidRPr="00644C6B">
            <w:fldChar w:fldCharType="separate"/>
          </w:r>
          <w:r w:rsidR="00940CDE">
            <w:rPr>
              <w:noProof/>
            </w:rPr>
            <w:t>Deep sea mining infographic</w:t>
          </w:r>
          <w:r w:rsidRPr="00644C6B">
            <w:fldChar w:fldCharType="end"/>
          </w:r>
        </w:p>
      </w:tc>
    </w:tr>
    <w:tr w:rsidR="00BB0136" w:rsidTr="005740FC">
      <w:trPr>
        <w:trHeight w:val="345"/>
      </w:trPr>
      <w:tc>
        <w:tcPr>
          <w:tcW w:w="471" w:type="pct"/>
          <w:vMerge/>
        </w:tcPr>
        <w:p w:rsidR="00BB0136" w:rsidRDefault="00BB0136" w:rsidP="00BB0136">
          <w:pPr>
            <w:pStyle w:val="Header"/>
            <w:jc w:val="right"/>
          </w:pPr>
        </w:p>
      </w:tc>
      <w:tc>
        <w:tcPr>
          <w:tcW w:w="4529" w:type="pct"/>
          <w:vAlign w:val="center"/>
        </w:tcPr>
        <w:p w:rsidR="00BB0136" w:rsidRPr="00BB6D52" w:rsidRDefault="00BB0136" w:rsidP="007F4FE7">
          <w:pPr>
            <w:pStyle w:val="Header"/>
            <w:jc w:val="right"/>
            <w:rPr>
              <w:i/>
              <w:color w:val="5E9CAE" w:themeColor="accent1"/>
            </w:rPr>
          </w:pPr>
          <w:r w:rsidRPr="00BB6D52">
            <w:rPr>
              <w:i/>
              <w:color w:val="5E9CAE" w:themeColor="accent1"/>
            </w:rPr>
            <w:fldChar w:fldCharType="begin"/>
          </w:r>
          <w:r w:rsidRPr="00BB6D52">
            <w:rPr>
              <w:i/>
              <w:color w:val="5E9CAE" w:themeColor="accent1"/>
            </w:rPr>
            <w:instrText xml:space="preserve"> if </w:instrText>
          </w:r>
          <w:r w:rsidRPr="00BB6D52">
            <w:rPr>
              <w:i/>
              <w:color w:val="5E9CAE" w:themeColor="accent1"/>
            </w:rPr>
            <w:fldChar w:fldCharType="begin"/>
          </w:r>
          <w:r w:rsidRPr="00BB6D52">
            <w:rPr>
              <w:i/>
              <w:color w:val="5E9CAE" w:themeColor="accent1"/>
            </w:rPr>
            <w:instrText xml:space="preserve"> STYLEREF  ~Doc</w:instrText>
          </w:r>
          <w:r>
            <w:rPr>
              <w:i/>
              <w:color w:val="5E9CAE" w:themeColor="accent1"/>
            </w:rPr>
            <w:instrText>SubTitle</w:instrText>
          </w:r>
          <w:r w:rsidRPr="00BB6D52">
            <w:rPr>
              <w:i/>
              <w:color w:val="5E9CAE" w:themeColor="accent1"/>
            </w:rPr>
            <w:instrText xml:space="preserve"> </w:instrText>
          </w:r>
          <w:r w:rsidRPr="00BB6D52">
            <w:rPr>
              <w:i/>
              <w:color w:val="5E9CAE" w:themeColor="accent1"/>
            </w:rPr>
            <w:fldChar w:fldCharType="separate"/>
          </w:r>
          <w:r w:rsidR="00940CDE">
            <w:rPr>
              <w:b/>
              <w:bCs/>
              <w:i/>
              <w:noProof/>
              <w:color w:val="5E9CAE" w:themeColor="accent1"/>
              <w:lang w:val="en-US"/>
            </w:rPr>
            <w:instrText>Error! No text of specified style in document.</w:instrText>
          </w:r>
          <w:r w:rsidRPr="00BB6D52">
            <w:rPr>
              <w:i/>
              <w:color w:val="5E9CAE" w:themeColor="accent1"/>
            </w:rPr>
            <w:fldChar w:fldCharType="end"/>
          </w:r>
          <w:r w:rsidRPr="00BB6D52">
            <w:rPr>
              <w:i/>
              <w:color w:val="5E9CAE" w:themeColor="accent1"/>
            </w:rPr>
            <w:instrText xml:space="preserve"> = "Error*" "" </w:instrText>
          </w:r>
          <w:r w:rsidRPr="00BB6D52">
            <w:rPr>
              <w:i/>
              <w:color w:val="5E9CAE" w:themeColor="accent1"/>
            </w:rPr>
            <w:fldChar w:fldCharType="begin"/>
          </w:r>
          <w:r w:rsidRPr="00BB6D52">
            <w:rPr>
              <w:i/>
              <w:color w:val="5E9CAE" w:themeColor="accent1"/>
            </w:rPr>
            <w:instrText xml:space="preserve"> STYLEREF  ~Doc</w:instrText>
          </w:r>
          <w:r>
            <w:rPr>
              <w:i/>
              <w:color w:val="5E9CAE" w:themeColor="accent1"/>
            </w:rPr>
            <w:instrText>SubTitle</w:instrText>
          </w:r>
          <w:r w:rsidRPr="00BB6D52">
            <w:rPr>
              <w:i/>
              <w:color w:val="5E9CAE" w:themeColor="accent1"/>
            </w:rPr>
            <w:instrText xml:space="preserve"> </w:instrText>
          </w:r>
          <w:r w:rsidRPr="00BB6D52">
            <w:rPr>
              <w:i/>
              <w:color w:val="5E9CAE" w:themeColor="accent1"/>
            </w:rPr>
            <w:fldChar w:fldCharType="separate"/>
          </w:r>
          <w:r>
            <w:rPr>
              <w:i/>
              <w:noProof/>
              <w:color w:val="5E9CAE" w:themeColor="accent1"/>
            </w:rPr>
            <w:instrText>Interactive text</w:instrText>
          </w:r>
          <w:r w:rsidRPr="00BB6D52">
            <w:rPr>
              <w:i/>
              <w:noProof/>
              <w:color w:val="5E9CAE" w:themeColor="accent1"/>
            </w:rPr>
            <w:fldChar w:fldCharType="end"/>
          </w:r>
          <w:r w:rsidRPr="00BB6D52">
            <w:rPr>
              <w:i/>
              <w:color w:val="5E9CAE" w:themeColor="accent1"/>
            </w:rPr>
            <w:instrText xml:space="preserve"> </w:instrText>
          </w:r>
          <w:r w:rsidRPr="00BB6D52">
            <w:rPr>
              <w:i/>
              <w:color w:val="5E9CAE" w:themeColor="accent1"/>
            </w:rPr>
            <w:fldChar w:fldCharType="end"/>
          </w:r>
        </w:p>
      </w:tc>
    </w:tr>
  </w:tbl>
  <w:p w:rsidR="00BB0136" w:rsidRDefault="00BB0136" w:rsidP="00662260">
    <w:pPr>
      <w:pStyle w:val="Header"/>
    </w:pPr>
  </w:p>
  <w:p w:rsidR="00BB0136" w:rsidRPr="00662260" w:rsidRDefault="00BB0136" w:rsidP="00662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36" w:rsidRDefault="00BB0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3F8"/>
    <w:multiLevelType w:val="multilevel"/>
    <w:tmpl w:val="4000B7F6"/>
    <w:lvl w:ilvl="0">
      <w:start w:val="1"/>
      <w:numFmt w:val="decimal"/>
      <w:lvlRestart w:val="0"/>
      <w:isLgl/>
      <w:lvlText w:val="%1."/>
      <w:lvlJc w:val="left"/>
      <w:pPr>
        <w:tabs>
          <w:tab w:val="num" w:pos="-1417"/>
        </w:tabs>
        <w:ind w:left="-1417" w:hanging="567"/>
      </w:pPr>
      <w:rPr>
        <w:rFonts w:ascii="Arial" w:hAnsi="Arial" w:cs="Arial"/>
        <w:b w:val="0"/>
        <w:i w:val="0"/>
        <w:color w:val="005172"/>
        <w:sz w:val="40"/>
      </w:rPr>
    </w:lvl>
    <w:lvl w:ilvl="1">
      <w:start w:val="1"/>
      <w:numFmt w:val="decimal"/>
      <w:isLgl/>
      <w:lvlText w:val="%1.%2."/>
      <w:lvlJc w:val="right"/>
      <w:pPr>
        <w:tabs>
          <w:tab w:val="num" w:pos="0"/>
        </w:tabs>
        <w:ind w:left="0" w:hanging="283"/>
      </w:pPr>
      <w:rPr>
        <w:rFonts w:ascii="Arial" w:hAnsi="Arial" w:cs="Arial"/>
        <w:b w:val="0"/>
        <w:i w:val="0"/>
        <w:color w:val="5E9CAE"/>
        <w:sz w:val="32"/>
      </w:rPr>
    </w:lvl>
    <w:lvl w:ilvl="2">
      <w:start w:val="1"/>
      <w:numFmt w:val="decimal"/>
      <w:isLgl/>
      <w:lvlText w:val="%1.%2.%3."/>
      <w:lvlJc w:val="right"/>
      <w:pPr>
        <w:tabs>
          <w:tab w:val="num" w:pos="0"/>
        </w:tabs>
        <w:ind w:left="0" w:hanging="283"/>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3CB2796"/>
    <w:multiLevelType w:val="multilevel"/>
    <w:tmpl w:val="C2561A3E"/>
    <w:lvl w:ilvl="0">
      <w:start w:val="1"/>
      <w:numFmt w:val="upperLetter"/>
      <w:lvlRestart w:val="0"/>
      <w:lvlText w:val="%1."/>
      <w:lvlJc w:val="right"/>
      <w:pPr>
        <w:tabs>
          <w:tab w:val="num" w:pos="0"/>
        </w:tabs>
        <w:ind w:left="0" w:hanging="283"/>
      </w:pPr>
      <w:rPr>
        <w:rFonts w:ascii="Arial" w:hAnsi="Arial" w:cs="Arial"/>
        <w:b w:val="0"/>
        <w:i w:val="0"/>
        <w:color w:val="5E9CAE"/>
        <w:sz w:val="40"/>
      </w:rPr>
    </w:lvl>
    <w:lvl w:ilvl="1">
      <w:start w:val="1"/>
      <w:numFmt w:val="decimal"/>
      <w:lvlText w:val="%1.%2."/>
      <w:lvlJc w:val="right"/>
      <w:pPr>
        <w:tabs>
          <w:tab w:val="num" w:pos="0"/>
        </w:tabs>
        <w:ind w:left="0" w:hanging="283"/>
      </w:pPr>
      <w:rPr>
        <w:rFonts w:ascii="Arial" w:hAnsi="Arial" w:cs="Arial"/>
        <w:b w:val="0"/>
        <w:i w:val="0"/>
        <w:color w:val="5E9CAE"/>
        <w:sz w:val="32"/>
      </w:rPr>
    </w:lvl>
    <w:lvl w:ilvl="2">
      <w:start w:val="1"/>
      <w:numFmt w:val="decimal"/>
      <w:lvlText w:val="%1.%2.%3."/>
      <w:lvlJc w:val="right"/>
      <w:pPr>
        <w:tabs>
          <w:tab w:val="num" w:pos="0"/>
        </w:tabs>
        <w:ind w:left="0" w:hanging="283"/>
      </w:pPr>
      <w:rPr>
        <w:rFonts w:ascii="Arial" w:hAnsi="Arial" w:cs="Arial"/>
        <w:b w:val="0"/>
        <w:i w:val="0"/>
        <w:color w:val="5E9CAE"/>
        <w:sz w:val="2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BC2DE6"/>
    <w:multiLevelType w:val="hybridMultilevel"/>
    <w:tmpl w:val="29529A8E"/>
    <w:lvl w:ilvl="0" w:tplc="C1C2AAFC">
      <w:start w:val="1"/>
      <w:numFmt w:val="bullet"/>
      <w:lvlText w:val="•"/>
      <w:lvlJc w:val="left"/>
      <w:pPr>
        <w:tabs>
          <w:tab w:val="num" w:pos="720"/>
        </w:tabs>
        <w:ind w:left="720" w:hanging="360"/>
      </w:pPr>
      <w:rPr>
        <w:rFonts w:ascii="Arial" w:hAnsi="Arial" w:hint="default"/>
      </w:rPr>
    </w:lvl>
    <w:lvl w:ilvl="1" w:tplc="0FB4DA74" w:tentative="1">
      <w:start w:val="1"/>
      <w:numFmt w:val="bullet"/>
      <w:lvlText w:val="•"/>
      <w:lvlJc w:val="left"/>
      <w:pPr>
        <w:tabs>
          <w:tab w:val="num" w:pos="1440"/>
        </w:tabs>
        <w:ind w:left="1440" w:hanging="360"/>
      </w:pPr>
      <w:rPr>
        <w:rFonts w:ascii="Arial" w:hAnsi="Arial" w:hint="default"/>
      </w:rPr>
    </w:lvl>
    <w:lvl w:ilvl="2" w:tplc="50229B8C" w:tentative="1">
      <w:start w:val="1"/>
      <w:numFmt w:val="bullet"/>
      <w:lvlText w:val="•"/>
      <w:lvlJc w:val="left"/>
      <w:pPr>
        <w:tabs>
          <w:tab w:val="num" w:pos="2160"/>
        </w:tabs>
        <w:ind w:left="2160" w:hanging="360"/>
      </w:pPr>
      <w:rPr>
        <w:rFonts w:ascii="Arial" w:hAnsi="Arial" w:hint="default"/>
      </w:rPr>
    </w:lvl>
    <w:lvl w:ilvl="3" w:tplc="E056D270" w:tentative="1">
      <w:start w:val="1"/>
      <w:numFmt w:val="bullet"/>
      <w:lvlText w:val="•"/>
      <w:lvlJc w:val="left"/>
      <w:pPr>
        <w:tabs>
          <w:tab w:val="num" w:pos="2880"/>
        </w:tabs>
        <w:ind w:left="2880" w:hanging="360"/>
      </w:pPr>
      <w:rPr>
        <w:rFonts w:ascii="Arial" w:hAnsi="Arial" w:hint="default"/>
      </w:rPr>
    </w:lvl>
    <w:lvl w:ilvl="4" w:tplc="B0C4C0A4" w:tentative="1">
      <w:start w:val="1"/>
      <w:numFmt w:val="bullet"/>
      <w:lvlText w:val="•"/>
      <w:lvlJc w:val="left"/>
      <w:pPr>
        <w:tabs>
          <w:tab w:val="num" w:pos="3600"/>
        </w:tabs>
        <w:ind w:left="3600" w:hanging="360"/>
      </w:pPr>
      <w:rPr>
        <w:rFonts w:ascii="Arial" w:hAnsi="Arial" w:hint="default"/>
      </w:rPr>
    </w:lvl>
    <w:lvl w:ilvl="5" w:tplc="EA0EBB76" w:tentative="1">
      <w:start w:val="1"/>
      <w:numFmt w:val="bullet"/>
      <w:lvlText w:val="•"/>
      <w:lvlJc w:val="left"/>
      <w:pPr>
        <w:tabs>
          <w:tab w:val="num" w:pos="4320"/>
        </w:tabs>
        <w:ind w:left="4320" w:hanging="360"/>
      </w:pPr>
      <w:rPr>
        <w:rFonts w:ascii="Arial" w:hAnsi="Arial" w:hint="default"/>
      </w:rPr>
    </w:lvl>
    <w:lvl w:ilvl="6" w:tplc="3B10675A" w:tentative="1">
      <w:start w:val="1"/>
      <w:numFmt w:val="bullet"/>
      <w:lvlText w:val="•"/>
      <w:lvlJc w:val="left"/>
      <w:pPr>
        <w:tabs>
          <w:tab w:val="num" w:pos="5040"/>
        </w:tabs>
        <w:ind w:left="5040" w:hanging="360"/>
      </w:pPr>
      <w:rPr>
        <w:rFonts w:ascii="Arial" w:hAnsi="Arial" w:hint="default"/>
      </w:rPr>
    </w:lvl>
    <w:lvl w:ilvl="7" w:tplc="5B1C9494" w:tentative="1">
      <w:start w:val="1"/>
      <w:numFmt w:val="bullet"/>
      <w:lvlText w:val="•"/>
      <w:lvlJc w:val="left"/>
      <w:pPr>
        <w:tabs>
          <w:tab w:val="num" w:pos="5760"/>
        </w:tabs>
        <w:ind w:left="5760" w:hanging="360"/>
      </w:pPr>
      <w:rPr>
        <w:rFonts w:ascii="Arial" w:hAnsi="Arial" w:hint="default"/>
      </w:rPr>
    </w:lvl>
    <w:lvl w:ilvl="8" w:tplc="554E27E2" w:tentative="1">
      <w:start w:val="1"/>
      <w:numFmt w:val="bullet"/>
      <w:lvlText w:val="•"/>
      <w:lvlJc w:val="left"/>
      <w:pPr>
        <w:tabs>
          <w:tab w:val="num" w:pos="6480"/>
        </w:tabs>
        <w:ind w:left="6480" w:hanging="360"/>
      </w:pPr>
      <w:rPr>
        <w:rFonts w:ascii="Arial" w:hAnsi="Arial" w:hint="default"/>
      </w:rPr>
    </w:lvl>
  </w:abstractNum>
  <w:abstractNum w:abstractNumId="3">
    <w:nsid w:val="13C766EC"/>
    <w:multiLevelType w:val="multilevel"/>
    <w:tmpl w:val="0A20A868"/>
    <w:lvl w:ilvl="0">
      <w:start w:val="1"/>
      <w:numFmt w:val="decimal"/>
      <w:lvlRestart w:val="0"/>
      <w:isLgl/>
      <w:lvlText w:val="%1."/>
      <w:lvlJc w:val="left"/>
      <w:pPr>
        <w:tabs>
          <w:tab w:val="num" w:pos="-1417"/>
        </w:tabs>
        <w:ind w:left="-1417" w:hanging="567"/>
      </w:pPr>
      <w:rPr>
        <w:rFonts w:ascii="Arial" w:hAnsi="Arial" w:cs="Arial"/>
        <w:b w:val="0"/>
        <w:i w:val="0"/>
        <w:color w:val="005172"/>
        <w:sz w:val="40"/>
      </w:rPr>
    </w:lvl>
    <w:lvl w:ilvl="1">
      <w:start w:val="1"/>
      <w:numFmt w:val="decimal"/>
      <w:isLgl/>
      <w:lvlText w:val="%1.%2."/>
      <w:lvlJc w:val="right"/>
      <w:pPr>
        <w:tabs>
          <w:tab w:val="num" w:pos="0"/>
        </w:tabs>
        <w:ind w:left="0" w:hanging="283"/>
      </w:pPr>
      <w:rPr>
        <w:rFonts w:ascii="Arial" w:hAnsi="Arial" w:cs="Arial"/>
        <w:b w:val="0"/>
        <w:i w:val="0"/>
        <w:color w:val="5E9CAE"/>
        <w:sz w:val="32"/>
      </w:rPr>
    </w:lvl>
    <w:lvl w:ilvl="2">
      <w:start w:val="1"/>
      <w:numFmt w:val="decimal"/>
      <w:isLgl/>
      <w:lvlText w:val="%1.%2.%3."/>
      <w:lvlJc w:val="right"/>
      <w:pPr>
        <w:tabs>
          <w:tab w:val="num" w:pos="0"/>
        </w:tabs>
        <w:ind w:left="0" w:hanging="283"/>
      </w:pPr>
      <w:rPr>
        <w:rFonts w:ascii="Arial" w:hAnsi="Arial" w:cs="Arial"/>
        <w:b w:val="0"/>
        <w:i w:val="0"/>
        <w:color w:val="5E9CAE"/>
        <w:sz w:val="26"/>
      </w:rPr>
    </w:lvl>
    <w:lvl w:ilvl="3">
      <w:start w:val="1"/>
      <w:numFmt w:val="decimal"/>
      <w:lvlRestart w:val="2"/>
      <w:isLgl/>
      <w:lvlText w:val="%1.%2.%3.%4."/>
      <w:lvlJc w:val="left"/>
      <w:pPr>
        <w:tabs>
          <w:tab w:val="num" w:pos="850"/>
        </w:tabs>
        <w:ind w:left="850" w:hanging="850"/>
      </w:pPr>
      <w:rPr>
        <w:rFonts w:ascii="Arial" w:hAnsi="Arial" w:cs="Arial"/>
        <w:b w:val="0"/>
        <w:i w:val="0"/>
        <w:color w:val="005172"/>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A6F2F2C"/>
    <w:multiLevelType w:val="multilevel"/>
    <w:tmpl w:val="B210C6F6"/>
    <w:lvl w:ilvl="0">
      <w:start w:val="1"/>
      <w:numFmt w:val="decimal"/>
      <w:lvlRestart w:val="0"/>
      <w:isLgl/>
      <w:lvlText w:val="%1."/>
      <w:lvlJc w:val="left"/>
      <w:pPr>
        <w:tabs>
          <w:tab w:val="num" w:pos="-1417"/>
        </w:tabs>
        <w:ind w:left="-1417" w:hanging="567"/>
      </w:pPr>
      <w:rPr>
        <w:rFonts w:ascii="Arial" w:hAnsi="Arial" w:cs="Arial"/>
        <w:b w:val="0"/>
        <w:i w:val="0"/>
        <w:color w:val="005172"/>
        <w:sz w:val="40"/>
      </w:rPr>
    </w:lvl>
    <w:lvl w:ilvl="1">
      <w:start w:val="1"/>
      <w:numFmt w:val="decimal"/>
      <w:isLgl/>
      <w:lvlText w:val="%1.%2."/>
      <w:lvlJc w:val="right"/>
      <w:pPr>
        <w:tabs>
          <w:tab w:val="num" w:pos="0"/>
        </w:tabs>
        <w:ind w:left="0" w:hanging="283"/>
      </w:pPr>
      <w:rPr>
        <w:rFonts w:ascii="Arial" w:hAnsi="Arial" w:cs="Arial"/>
        <w:b w:val="0"/>
        <w:i w:val="0"/>
        <w:color w:val="5E9CAE"/>
        <w:sz w:val="32"/>
      </w:rPr>
    </w:lvl>
    <w:lvl w:ilvl="2">
      <w:start w:val="1"/>
      <w:numFmt w:val="decimal"/>
      <w:isLgl/>
      <w:lvlText w:val="%1.%2.%3."/>
      <w:lvlJc w:val="right"/>
      <w:pPr>
        <w:tabs>
          <w:tab w:val="num" w:pos="0"/>
        </w:tabs>
        <w:ind w:left="0" w:hanging="283"/>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EF409F5"/>
    <w:multiLevelType w:val="multilevel"/>
    <w:tmpl w:val="A6D26926"/>
    <w:lvl w:ilvl="0">
      <w:start w:val="1"/>
      <w:numFmt w:val="upperLetter"/>
      <w:lvlRestart w:val="0"/>
      <w:lvlText w:val="%1."/>
      <w:lvlJc w:val="right"/>
      <w:pPr>
        <w:tabs>
          <w:tab w:val="num" w:pos="0"/>
        </w:tabs>
        <w:ind w:left="0" w:hanging="283"/>
      </w:pPr>
      <w:rPr>
        <w:rFonts w:ascii="Arial" w:hAnsi="Arial" w:cs="Arial"/>
        <w:b w:val="0"/>
        <w:i w:val="0"/>
        <w:color w:val="5E9CAE"/>
        <w:sz w:val="40"/>
      </w:rPr>
    </w:lvl>
    <w:lvl w:ilvl="1">
      <w:start w:val="1"/>
      <w:numFmt w:val="decimal"/>
      <w:lvlText w:val="%1.%2."/>
      <w:lvlJc w:val="right"/>
      <w:pPr>
        <w:tabs>
          <w:tab w:val="num" w:pos="0"/>
        </w:tabs>
        <w:ind w:left="0" w:hanging="283"/>
      </w:pPr>
      <w:rPr>
        <w:rFonts w:ascii="Arial" w:hAnsi="Arial" w:cs="Arial"/>
        <w:b w:val="0"/>
        <w:i w:val="0"/>
        <w:color w:val="5E9CAE"/>
        <w:sz w:val="32"/>
      </w:rPr>
    </w:lvl>
    <w:lvl w:ilvl="2">
      <w:start w:val="1"/>
      <w:numFmt w:val="decimal"/>
      <w:lvlText w:val="%1.%2.%3."/>
      <w:lvlJc w:val="right"/>
      <w:pPr>
        <w:tabs>
          <w:tab w:val="num" w:pos="0"/>
        </w:tabs>
        <w:ind w:left="0" w:hanging="283"/>
      </w:pPr>
      <w:rPr>
        <w:rFonts w:ascii="Arial" w:hAnsi="Arial" w:cs="Arial"/>
        <w:b w:val="0"/>
        <w:i w:val="0"/>
        <w:color w:val="5E9CAE"/>
        <w:sz w:val="2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CB0EAD"/>
    <w:multiLevelType w:val="multilevel"/>
    <w:tmpl w:val="AF4468A8"/>
    <w:lvl w:ilvl="0">
      <w:start w:val="1"/>
      <w:numFmt w:val="upperLetter"/>
      <w:lvlRestart w:val="0"/>
      <w:lvlText w:val="%1."/>
      <w:lvlJc w:val="right"/>
      <w:pPr>
        <w:tabs>
          <w:tab w:val="num" w:pos="0"/>
        </w:tabs>
        <w:ind w:left="0" w:hanging="283"/>
      </w:pPr>
      <w:rPr>
        <w:rFonts w:ascii="Arial" w:hAnsi="Arial" w:cs="Arial"/>
        <w:b w:val="0"/>
        <w:i w:val="0"/>
        <w:color w:val="5E9CAE"/>
        <w:sz w:val="40"/>
      </w:rPr>
    </w:lvl>
    <w:lvl w:ilvl="1">
      <w:start w:val="1"/>
      <w:numFmt w:val="decimal"/>
      <w:lvlText w:val="%1.%2."/>
      <w:lvlJc w:val="right"/>
      <w:pPr>
        <w:tabs>
          <w:tab w:val="num" w:pos="0"/>
        </w:tabs>
        <w:ind w:left="0" w:hanging="283"/>
      </w:pPr>
      <w:rPr>
        <w:rFonts w:ascii="Arial" w:hAnsi="Arial" w:cs="Arial"/>
        <w:b w:val="0"/>
        <w:i w:val="0"/>
        <w:color w:val="5E9CAE"/>
        <w:sz w:val="32"/>
      </w:rPr>
    </w:lvl>
    <w:lvl w:ilvl="2">
      <w:start w:val="1"/>
      <w:numFmt w:val="decimal"/>
      <w:lvlText w:val="%1.%2.%3."/>
      <w:lvlJc w:val="right"/>
      <w:pPr>
        <w:tabs>
          <w:tab w:val="num" w:pos="0"/>
        </w:tabs>
        <w:ind w:left="0" w:hanging="283"/>
      </w:pPr>
      <w:rPr>
        <w:rFonts w:ascii="Arial" w:hAnsi="Arial" w:cs="Arial"/>
        <w:b w:val="0"/>
        <w:i w:val="0"/>
        <w:color w:val="5E9CAE"/>
        <w:sz w:val="2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B048BB"/>
    <w:multiLevelType w:val="multilevel"/>
    <w:tmpl w:val="B0FE93D8"/>
    <w:lvl w:ilvl="0">
      <w:start w:val="1"/>
      <w:numFmt w:val="decimal"/>
      <w:lvlRestart w:val="0"/>
      <w:isLgl/>
      <w:lvlText w:val="%1."/>
      <w:lvlJc w:val="left"/>
      <w:pPr>
        <w:tabs>
          <w:tab w:val="num" w:pos="-1417"/>
        </w:tabs>
        <w:ind w:left="-1417" w:hanging="567"/>
      </w:pPr>
      <w:rPr>
        <w:rFonts w:ascii="Arial" w:hAnsi="Arial" w:cs="Arial"/>
        <w:b w:val="0"/>
        <w:i w:val="0"/>
        <w:color w:val="005172"/>
        <w:sz w:val="40"/>
      </w:rPr>
    </w:lvl>
    <w:lvl w:ilvl="1">
      <w:start w:val="1"/>
      <w:numFmt w:val="decimal"/>
      <w:isLgl/>
      <w:lvlText w:val="%1.%2."/>
      <w:lvlJc w:val="right"/>
      <w:pPr>
        <w:tabs>
          <w:tab w:val="num" w:pos="0"/>
        </w:tabs>
        <w:ind w:left="0" w:hanging="283"/>
      </w:pPr>
      <w:rPr>
        <w:rFonts w:ascii="Arial" w:hAnsi="Arial" w:cs="Arial"/>
        <w:b w:val="0"/>
        <w:i w:val="0"/>
        <w:color w:val="5E9CAE"/>
        <w:sz w:val="32"/>
      </w:rPr>
    </w:lvl>
    <w:lvl w:ilvl="2">
      <w:start w:val="1"/>
      <w:numFmt w:val="decimal"/>
      <w:isLgl/>
      <w:lvlText w:val="%1.%2.%3."/>
      <w:lvlJc w:val="right"/>
      <w:pPr>
        <w:tabs>
          <w:tab w:val="num" w:pos="0"/>
        </w:tabs>
        <w:ind w:left="0" w:hanging="283"/>
      </w:pPr>
      <w:rPr>
        <w:rFonts w:ascii="Arial" w:hAnsi="Arial" w:cs="Arial"/>
        <w:b w:val="0"/>
        <w:i w:val="0"/>
        <w:color w:val="5E9CAE"/>
        <w:sz w:val="26"/>
      </w:rPr>
    </w:lvl>
    <w:lvl w:ilvl="3">
      <w:start w:val="1"/>
      <w:numFmt w:val="decimal"/>
      <w:lvlRestart w:val="2"/>
      <w:isLgl/>
      <w:lvlText w:val="%1.%2.%3.%4."/>
      <w:lvlJc w:val="right"/>
      <w:pPr>
        <w:tabs>
          <w:tab w:val="num" w:pos="0"/>
        </w:tabs>
        <w:ind w:left="0" w:hanging="283"/>
      </w:pPr>
      <w:rPr>
        <w:rFonts w:ascii="Arial" w:hAnsi="Arial" w:cs="Arial"/>
        <w:b w:val="0"/>
        <w:i w:val="0"/>
        <w:color w:val="005172"/>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D906BB5"/>
    <w:multiLevelType w:val="multilevel"/>
    <w:tmpl w:val="6CAC857C"/>
    <w:lvl w:ilvl="0">
      <w:start w:val="1"/>
      <w:numFmt w:val="decimal"/>
      <w:lvlRestart w:val="0"/>
      <w:isLgl/>
      <w:lvlText w:val="%1."/>
      <w:lvlJc w:val="left"/>
      <w:pPr>
        <w:tabs>
          <w:tab w:val="num" w:pos="-1417"/>
        </w:tabs>
        <w:ind w:left="-1417" w:hanging="567"/>
      </w:pPr>
      <w:rPr>
        <w:rFonts w:ascii="Arial" w:hAnsi="Arial" w:cs="Arial"/>
        <w:b w:val="0"/>
        <w:i w:val="0"/>
        <w:color w:val="005172"/>
        <w:sz w:val="40"/>
      </w:rPr>
    </w:lvl>
    <w:lvl w:ilvl="1">
      <w:start w:val="1"/>
      <w:numFmt w:val="decimal"/>
      <w:isLgl/>
      <w:lvlText w:val="%1.%2."/>
      <w:lvlJc w:val="right"/>
      <w:pPr>
        <w:tabs>
          <w:tab w:val="num" w:pos="0"/>
        </w:tabs>
        <w:ind w:left="0" w:hanging="283"/>
      </w:pPr>
      <w:rPr>
        <w:rFonts w:ascii="Arial" w:hAnsi="Arial" w:cs="Arial"/>
        <w:b w:val="0"/>
        <w:i w:val="0"/>
        <w:color w:val="5E9CAE"/>
        <w:sz w:val="32"/>
      </w:rPr>
    </w:lvl>
    <w:lvl w:ilvl="2">
      <w:start w:val="1"/>
      <w:numFmt w:val="decimal"/>
      <w:isLgl/>
      <w:lvlText w:val="%1.%2.%3."/>
      <w:lvlJc w:val="right"/>
      <w:pPr>
        <w:tabs>
          <w:tab w:val="num" w:pos="0"/>
        </w:tabs>
        <w:ind w:left="0" w:hanging="283"/>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A0744BE"/>
    <w:multiLevelType w:val="multilevel"/>
    <w:tmpl w:val="5204CB40"/>
    <w:lvl w:ilvl="0">
      <w:start w:val="1"/>
      <w:numFmt w:val="bullet"/>
      <w:pStyle w:val="Bullet1"/>
      <w:lvlText w:val="n"/>
      <w:lvlJc w:val="left"/>
      <w:pPr>
        <w:tabs>
          <w:tab w:val="num" w:pos="340"/>
        </w:tabs>
        <w:ind w:left="340" w:hanging="340"/>
      </w:pPr>
      <w:rPr>
        <w:rFonts w:ascii="Wingdings" w:hAnsi="Wingdings" w:hint="default"/>
        <w:color w:val="5E9CAE" w:themeColor="accent1"/>
      </w:rPr>
    </w:lvl>
    <w:lvl w:ilvl="1">
      <w:start w:val="1"/>
      <w:numFmt w:val="bullet"/>
      <w:pStyle w:val="Bullet2"/>
      <w:lvlText w:val=""/>
      <w:lvlJc w:val="left"/>
      <w:pPr>
        <w:tabs>
          <w:tab w:val="num" w:pos="680"/>
        </w:tabs>
        <w:ind w:left="680" w:hanging="340"/>
      </w:pPr>
      <w:rPr>
        <w:rFonts w:ascii="Wingdings 2" w:hAnsi="Wingdings 2" w:hint="default"/>
        <w:color w:val="5E9CAE" w:themeColor="accent1"/>
      </w:rPr>
    </w:lvl>
    <w:lvl w:ilvl="2">
      <w:start w:val="1"/>
      <w:numFmt w:val="bullet"/>
      <w:pStyle w:val="Bullet3"/>
      <w:lvlText w:val="–"/>
      <w:lvlJc w:val="left"/>
      <w:pPr>
        <w:tabs>
          <w:tab w:val="num" w:pos="1021"/>
        </w:tabs>
        <w:ind w:left="1021" w:hanging="341"/>
      </w:pPr>
      <w:rPr>
        <w:rFonts w:ascii="(none)" w:hAnsi="(none)" w:hint="default"/>
        <w:color w:val="5E9CAE"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0">
    <w:nsid w:val="4A793B79"/>
    <w:multiLevelType w:val="multilevel"/>
    <w:tmpl w:val="340E4B34"/>
    <w:lvl w:ilvl="0">
      <w:start w:val="1"/>
      <w:numFmt w:val="decimal"/>
      <w:lvlRestart w:val="0"/>
      <w:pStyle w:val="Heading1"/>
      <w:isLgl/>
      <w:lvlText w:val="%1."/>
      <w:lvlJc w:val="left"/>
      <w:pPr>
        <w:tabs>
          <w:tab w:val="num" w:pos="567"/>
        </w:tabs>
        <w:ind w:left="567" w:hanging="567"/>
      </w:pPr>
      <w:rPr>
        <w:rFonts w:ascii="Arial" w:hAnsi="Arial" w:cs="Arial"/>
        <w:b w:val="0"/>
        <w:i w:val="0"/>
        <w:color w:val="005172"/>
        <w:sz w:val="40"/>
      </w:rPr>
    </w:lvl>
    <w:lvl w:ilvl="1">
      <w:start w:val="1"/>
      <w:numFmt w:val="decimal"/>
      <w:pStyle w:val="Heading2"/>
      <w:isLgl/>
      <w:lvlText w:val="%1.%2."/>
      <w:lvlJc w:val="left"/>
      <w:pPr>
        <w:tabs>
          <w:tab w:val="num" w:pos="709"/>
        </w:tabs>
        <w:ind w:left="709" w:hanging="709"/>
      </w:pPr>
      <w:rPr>
        <w:rFonts w:ascii="Arial" w:hAnsi="Arial" w:cs="Arial"/>
        <w:b w:val="0"/>
        <w:i w:val="0"/>
        <w:color w:val="5E9CAE"/>
        <w:sz w:val="32"/>
      </w:rPr>
    </w:lvl>
    <w:lvl w:ilvl="2">
      <w:start w:val="1"/>
      <w:numFmt w:val="decimal"/>
      <w:pStyle w:val="Heading3"/>
      <w:isLgl/>
      <w:lvlText w:val="%1.%2.%3."/>
      <w:lvlJc w:val="left"/>
      <w:pPr>
        <w:tabs>
          <w:tab w:val="num" w:pos="992"/>
        </w:tabs>
        <w:ind w:left="992" w:hanging="992"/>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0DE1109"/>
    <w:multiLevelType w:val="hybridMultilevel"/>
    <w:tmpl w:val="156AF740"/>
    <w:lvl w:ilvl="0" w:tplc="31BA16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765863"/>
    <w:multiLevelType w:val="hybridMultilevel"/>
    <w:tmpl w:val="252C5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2A4173"/>
    <w:multiLevelType w:val="multilevel"/>
    <w:tmpl w:val="A976BF56"/>
    <w:lvl w:ilvl="0">
      <w:start w:val="1"/>
      <w:numFmt w:val="decimal"/>
      <w:lvlRestart w:val="0"/>
      <w:isLgl/>
      <w:lvlText w:val="%1."/>
      <w:lvlJc w:val="left"/>
      <w:pPr>
        <w:tabs>
          <w:tab w:val="num" w:pos="-1417"/>
        </w:tabs>
        <w:ind w:left="-1417" w:hanging="567"/>
      </w:pPr>
      <w:rPr>
        <w:rFonts w:ascii="Arial" w:hAnsi="Arial" w:cs="Arial"/>
        <w:b w:val="0"/>
        <w:i w:val="0"/>
        <w:color w:val="005172"/>
        <w:sz w:val="40"/>
      </w:rPr>
    </w:lvl>
    <w:lvl w:ilvl="1">
      <w:start w:val="1"/>
      <w:numFmt w:val="decimal"/>
      <w:isLgl/>
      <w:lvlText w:val="%1.%2."/>
      <w:lvlJc w:val="right"/>
      <w:pPr>
        <w:tabs>
          <w:tab w:val="num" w:pos="0"/>
        </w:tabs>
        <w:ind w:left="0" w:hanging="283"/>
      </w:pPr>
      <w:rPr>
        <w:rFonts w:ascii="Arial" w:hAnsi="Arial" w:cs="Arial"/>
        <w:b w:val="0"/>
        <w:i w:val="0"/>
        <w:color w:val="5E9CAE"/>
        <w:sz w:val="32"/>
      </w:rPr>
    </w:lvl>
    <w:lvl w:ilvl="2">
      <w:start w:val="1"/>
      <w:numFmt w:val="decimal"/>
      <w:isLgl/>
      <w:lvlText w:val="%1.%2.%3."/>
      <w:lvlJc w:val="right"/>
      <w:pPr>
        <w:tabs>
          <w:tab w:val="num" w:pos="0"/>
        </w:tabs>
        <w:ind w:left="0" w:hanging="283"/>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89D0E93"/>
    <w:multiLevelType w:val="multilevel"/>
    <w:tmpl w:val="AD2C03B0"/>
    <w:lvl w:ilvl="0">
      <w:start w:val="1"/>
      <w:numFmt w:val="decimal"/>
      <w:lvlRestart w:val="0"/>
      <w:isLgl/>
      <w:lvlText w:val="%1."/>
      <w:lvlJc w:val="left"/>
      <w:pPr>
        <w:tabs>
          <w:tab w:val="num" w:pos="-1417"/>
        </w:tabs>
        <w:ind w:left="-1417" w:hanging="567"/>
      </w:pPr>
      <w:rPr>
        <w:rFonts w:ascii="Arial" w:hAnsi="Arial" w:cs="Arial"/>
        <w:b w:val="0"/>
        <w:i w:val="0"/>
        <w:color w:val="005172"/>
        <w:sz w:val="40"/>
      </w:rPr>
    </w:lvl>
    <w:lvl w:ilvl="1">
      <w:start w:val="1"/>
      <w:numFmt w:val="decimal"/>
      <w:isLgl/>
      <w:lvlText w:val="%1.%2."/>
      <w:lvlJc w:val="right"/>
      <w:pPr>
        <w:tabs>
          <w:tab w:val="num" w:pos="0"/>
        </w:tabs>
        <w:ind w:left="0" w:hanging="283"/>
      </w:pPr>
      <w:rPr>
        <w:rFonts w:ascii="Arial" w:hAnsi="Arial" w:cs="Arial"/>
        <w:b w:val="0"/>
        <w:i w:val="0"/>
        <w:color w:val="5E9CAE"/>
        <w:sz w:val="32"/>
      </w:rPr>
    </w:lvl>
    <w:lvl w:ilvl="2">
      <w:start w:val="1"/>
      <w:numFmt w:val="decimal"/>
      <w:isLgl/>
      <w:lvlText w:val="%1.%2.%3."/>
      <w:lvlJc w:val="right"/>
      <w:pPr>
        <w:tabs>
          <w:tab w:val="num" w:pos="0"/>
        </w:tabs>
        <w:ind w:left="0" w:hanging="283"/>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A4B1D9D"/>
    <w:multiLevelType w:val="multilevel"/>
    <w:tmpl w:val="62A4C4B8"/>
    <w:lvl w:ilvl="0">
      <w:start w:val="1"/>
      <w:numFmt w:val="upperLetter"/>
      <w:lvlRestart w:val="0"/>
      <w:pStyle w:val="AppHead"/>
      <w:lvlText w:val="%1."/>
      <w:lvlJc w:val="left"/>
      <w:pPr>
        <w:tabs>
          <w:tab w:val="num" w:pos="567"/>
        </w:tabs>
        <w:ind w:left="567" w:hanging="567"/>
      </w:pPr>
      <w:rPr>
        <w:rFonts w:ascii="Arial" w:hAnsi="Arial" w:cs="Arial" w:hint="default"/>
        <w:b w:val="0"/>
        <w:i w:val="0"/>
        <w:color w:val="5E9CAE"/>
        <w:sz w:val="40"/>
      </w:rPr>
    </w:lvl>
    <w:lvl w:ilvl="1">
      <w:start w:val="1"/>
      <w:numFmt w:val="decimal"/>
      <w:pStyle w:val="AppSubHead"/>
      <w:lvlText w:val="%1.%2."/>
      <w:lvlJc w:val="left"/>
      <w:pPr>
        <w:tabs>
          <w:tab w:val="num" w:pos="851"/>
        </w:tabs>
        <w:ind w:left="851" w:hanging="851"/>
      </w:pPr>
      <w:rPr>
        <w:rFonts w:ascii="Arial" w:hAnsi="Arial" w:cs="Arial" w:hint="default"/>
        <w:b w:val="0"/>
        <w:i w:val="0"/>
        <w:color w:val="5E9CAE"/>
        <w:sz w:val="32"/>
      </w:rPr>
    </w:lvl>
    <w:lvl w:ilvl="2">
      <w:start w:val="1"/>
      <w:numFmt w:val="decimal"/>
      <w:pStyle w:val="AppMinorSubHead"/>
      <w:lvlText w:val="%1.%2.%3."/>
      <w:lvlJc w:val="left"/>
      <w:pPr>
        <w:tabs>
          <w:tab w:val="num" w:pos="1134"/>
        </w:tabs>
        <w:ind w:left="1134" w:hanging="1134"/>
      </w:pPr>
      <w:rPr>
        <w:rFonts w:ascii="Arial" w:hAnsi="Arial" w:cs="Arial" w:hint="default"/>
        <w:b w:val="0"/>
        <w:i w:val="0"/>
        <w:color w:val="5E9CAE"/>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C5E1261"/>
    <w:multiLevelType w:val="multilevel"/>
    <w:tmpl w:val="3010566C"/>
    <w:lvl w:ilvl="0">
      <w:start w:val="1"/>
      <w:numFmt w:val="upperLetter"/>
      <w:lvlRestart w:val="0"/>
      <w:lvlText w:val="%1."/>
      <w:lvlJc w:val="right"/>
      <w:pPr>
        <w:tabs>
          <w:tab w:val="num" w:pos="0"/>
        </w:tabs>
        <w:ind w:left="0" w:hanging="283"/>
      </w:pPr>
      <w:rPr>
        <w:rFonts w:ascii="Arial" w:hAnsi="Arial" w:cs="Arial"/>
        <w:b w:val="0"/>
        <w:i w:val="0"/>
        <w:color w:val="5E9CAE"/>
        <w:sz w:val="40"/>
      </w:rPr>
    </w:lvl>
    <w:lvl w:ilvl="1">
      <w:start w:val="1"/>
      <w:numFmt w:val="decimal"/>
      <w:lvlText w:val="%1.%2."/>
      <w:lvlJc w:val="right"/>
      <w:pPr>
        <w:tabs>
          <w:tab w:val="num" w:pos="0"/>
        </w:tabs>
        <w:ind w:left="0" w:hanging="283"/>
      </w:pPr>
      <w:rPr>
        <w:rFonts w:ascii="Arial" w:hAnsi="Arial" w:cs="Arial"/>
        <w:b w:val="0"/>
        <w:i w:val="0"/>
        <w:color w:val="5E9CAE"/>
        <w:sz w:val="32"/>
      </w:rPr>
    </w:lvl>
    <w:lvl w:ilvl="2">
      <w:start w:val="1"/>
      <w:numFmt w:val="decimal"/>
      <w:lvlText w:val="%1.%2.%3."/>
      <w:lvlJc w:val="right"/>
      <w:pPr>
        <w:tabs>
          <w:tab w:val="num" w:pos="0"/>
        </w:tabs>
        <w:ind w:left="0" w:hanging="283"/>
      </w:pPr>
      <w:rPr>
        <w:rFonts w:ascii="Arial" w:hAnsi="Arial" w:cs="Arial"/>
        <w:b w:val="0"/>
        <w:i w:val="0"/>
        <w:color w:val="5E9CAE"/>
        <w:sz w:val="2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18">
    <w:nsid w:val="6FE62160"/>
    <w:multiLevelType w:val="multilevel"/>
    <w:tmpl w:val="3E3E364E"/>
    <w:lvl w:ilvl="0">
      <w:start w:val="1"/>
      <w:numFmt w:val="upperLetter"/>
      <w:lvlRestart w:val="0"/>
      <w:lvlText w:val="%1."/>
      <w:lvlJc w:val="right"/>
      <w:pPr>
        <w:tabs>
          <w:tab w:val="num" w:pos="0"/>
        </w:tabs>
        <w:ind w:left="0" w:hanging="283"/>
      </w:pPr>
      <w:rPr>
        <w:rFonts w:ascii="Arial" w:hAnsi="Arial" w:cs="Arial"/>
        <w:b w:val="0"/>
        <w:i w:val="0"/>
        <w:color w:val="5E9CAE"/>
        <w:sz w:val="40"/>
      </w:rPr>
    </w:lvl>
    <w:lvl w:ilvl="1">
      <w:start w:val="1"/>
      <w:numFmt w:val="decimal"/>
      <w:lvlText w:val="%1.%2."/>
      <w:lvlJc w:val="right"/>
      <w:pPr>
        <w:tabs>
          <w:tab w:val="num" w:pos="0"/>
        </w:tabs>
        <w:ind w:left="0" w:hanging="283"/>
      </w:pPr>
      <w:rPr>
        <w:rFonts w:ascii="Arial" w:hAnsi="Arial" w:cs="Arial"/>
        <w:b w:val="0"/>
        <w:i w:val="0"/>
        <w:color w:val="5E9CAE"/>
        <w:sz w:val="32"/>
      </w:rPr>
    </w:lvl>
    <w:lvl w:ilvl="2">
      <w:start w:val="1"/>
      <w:numFmt w:val="decimal"/>
      <w:lvlText w:val="%1.%2.%3."/>
      <w:lvlJc w:val="right"/>
      <w:pPr>
        <w:tabs>
          <w:tab w:val="num" w:pos="0"/>
        </w:tabs>
        <w:ind w:left="0" w:hanging="283"/>
      </w:pPr>
      <w:rPr>
        <w:rFonts w:ascii="Arial" w:hAnsi="Arial" w:cs="Arial"/>
        <w:b w:val="0"/>
        <w:i w:val="0"/>
        <w:color w:val="5E9CAE"/>
        <w:sz w:val="2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3641ED4"/>
    <w:multiLevelType w:val="multilevel"/>
    <w:tmpl w:val="A502AB86"/>
    <w:lvl w:ilvl="0">
      <w:start w:val="1"/>
      <w:numFmt w:val="upperLetter"/>
      <w:lvlRestart w:val="0"/>
      <w:lvlText w:val="%1."/>
      <w:lvlJc w:val="right"/>
      <w:pPr>
        <w:tabs>
          <w:tab w:val="num" w:pos="0"/>
        </w:tabs>
        <w:ind w:left="0" w:hanging="283"/>
      </w:pPr>
      <w:rPr>
        <w:rFonts w:ascii="Arial" w:hAnsi="Arial" w:cs="Arial"/>
        <w:b w:val="0"/>
        <w:i w:val="0"/>
        <w:color w:val="5E9CAE"/>
        <w:sz w:val="40"/>
      </w:rPr>
    </w:lvl>
    <w:lvl w:ilvl="1">
      <w:start w:val="1"/>
      <w:numFmt w:val="decimal"/>
      <w:lvlText w:val="%1.%2."/>
      <w:lvlJc w:val="right"/>
      <w:pPr>
        <w:tabs>
          <w:tab w:val="num" w:pos="0"/>
        </w:tabs>
        <w:ind w:left="0" w:hanging="283"/>
      </w:pPr>
      <w:rPr>
        <w:rFonts w:ascii="Arial" w:hAnsi="Arial" w:cs="Arial"/>
        <w:b w:val="0"/>
        <w:i w:val="0"/>
        <w:color w:val="5E9CAE"/>
        <w:sz w:val="32"/>
      </w:rPr>
    </w:lvl>
    <w:lvl w:ilvl="2">
      <w:start w:val="1"/>
      <w:numFmt w:val="decimal"/>
      <w:lvlText w:val="%1.%2.%3."/>
      <w:lvlJc w:val="right"/>
      <w:pPr>
        <w:tabs>
          <w:tab w:val="num" w:pos="0"/>
        </w:tabs>
        <w:ind w:left="0" w:hanging="283"/>
      </w:pPr>
      <w:rPr>
        <w:rFonts w:ascii="Arial" w:hAnsi="Arial" w:cs="Arial"/>
        <w:b w:val="0"/>
        <w:i w:val="0"/>
        <w:color w:val="5E9CAE"/>
        <w:sz w:val="2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96A3518"/>
    <w:multiLevelType w:val="multilevel"/>
    <w:tmpl w:val="E27AE460"/>
    <w:lvl w:ilvl="0">
      <w:start w:val="1"/>
      <w:numFmt w:val="decimal"/>
      <w:pStyle w:val="NumBullet1"/>
      <w:lvlText w:val="%1."/>
      <w:lvlJc w:val="left"/>
      <w:pPr>
        <w:tabs>
          <w:tab w:val="num" w:pos="340"/>
        </w:tabs>
        <w:ind w:left="340" w:hanging="340"/>
      </w:pPr>
      <w:rPr>
        <w:rFonts w:hint="default"/>
        <w:color w:val="5E9CAE" w:themeColor="accent1"/>
      </w:rPr>
    </w:lvl>
    <w:lvl w:ilvl="1">
      <w:start w:val="1"/>
      <w:numFmt w:val="lowerLetter"/>
      <w:pStyle w:val="NumBullet2"/>
      <w:lvlText w:val="%2."/>
      <w:lvlJc w:val="left"/>
      <w:pPr>
        <w:tabs>
          <w:tab w:val="num" w:pos="680"/>
        </w:tabs>
        <w:ind w:left="680" w:hanging="340"/>
      </w:pPr>
      <w:rPr>
        <w:rFonts w:hint="default"/>
        <w:color w:val="5E9CAE" w:themeColor="accent1"/>
      </w:rPr>
    </w:lvl>
    <w:lvl w:ilvl="2">
      <w:start w:val="1"/>
      <w:numFmt w:val="lowerRoman"/>
      <w:pStyle w:val="NumBullet3"/>
      <w:lvlText w:val="%3."/>
      <w:lvlJc w:val="left"/>
      <w:pPr>
        <w:tabs>
          <w:tab w:val="num" w:pos="1021"/>
        </w:tabs>
        <w:ind w:left="1021" w:hanging="341"/>
      </w:pPr>
      <w:rPr>
        <w:rFonts w:hint="default"/>
        <w:color w:val="5E9CAE"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1"/>
      <w:lvlJc w:val="left"/>
      <w:pPr>
        <w:tabs>
          <w:tab w:val="num" w:pos="0"/>
        </w:tabs>
        <w:ind w:left="-32767" w:firstLine="0"/>
      </w:pPr>
      <w:rPr>
        <w:rFonts w:hint="default"/>
      </w:rPr>
    </w:lvl>
  </w:abstractNum>
  <w:abstractNum w:abstractNumId="21">
    <w:nsid w:val="7A711C8C"/>
    <w:multiLevelType w:val="multilevel"/>
    <w:tmpl w:val="28DCD910"/>
    <w:lvl w:ilvl="0">
      <w:start w:val="1"/>
      <w:numFmt w:val="upperLetter"/>
      <w:lvlRestart w:val="0"/>
      <w:lvlText w:val="%1."/>
      <w:lvlJc w:val="right"/>
      <w:pPr>
        <w:tabs>
          <w:tab w:val="num" w:pos="0"/>
        </w:tabs>
        <w:ind w:left="0" w:hanging="283"/>
      </w:pPr>
      <w:rPr>
        <w:rFonts w:ascii="Arial" w:hAnsi="Arial" w:cs="Arial"/>
        <w:b w:val="0"/>
        <w:i w:val="0"/>
        <w:color w:val="5E9CAE"/>
        <w:sz w:val="40"/>
      </w:rPr>
    </w:lvl>
    <w:lvl w:ilvl="1">
      <w:start w:val="1"/>
      <w:numFmt w:val="decimal"/>
      <w:lvlText w:val="%1.%2."/>
      <w:lvlJc w:val="right"/>
      <w:pPr>
        <w:tabs>
          <w:tab w:val="num" w:pos="0"/>
        </w:tabs>
        <w:ind w:left="0" w:hanging="283"/>
      </w:pPr>
      <w:rPr>
        <w:rFonts w:ascii="Arial" w:hAnsi="Arial" w:cs="Arial"/>
        <w:b w:val="0"/>
        <w:i w:val="0"/>
        <w:color w:val="5E9CAE"/>
        <w:sz w:val="32"/>
      </w:rPr>
    </w:lvl>
    <w:lvl w:ilvl="2">
      <w:start w:val="1"/>
      <w:numFmt w:val="decimal"/>
      <w:lvlText w:val="%1.%2.%3."/>
      <w:lvlJc w:val="right"/>
      <w:pPr>
        <w:tabs>
          <w:tab w:val="num" w:pos="0"/>
        </w:tabs>
        <w:ind w:left="0" w:hanging="283"/>
      </w:pPr>
      <w:rPr>
        <w:rFonts w:ascii="Arial" w:hAnsi="Arial" w:cs="Arial"/>
        <w:b w:val="0"/>
        <w:i w:val="0"/>
        <w:color w:val="5E9CAE"/>
        <w:sz w:val="2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0"/>
  </w:num>
  <w:num w:numId="3">
    <w:abstractNumId w:val="17"/>
  </w:num>
  <w:num w:numId="4">
    <w:abstractNumId w:val="7"/>
  </w:num>
  <w:num w:numId="5">
    <w:abstractNumId w:val="5"/>
  </w:num>
  <w:num w:numId="6">
    <w:abstractNumId w:val="3"/>
  </w:num>
  <w:num w:numId="7">
    <w:abstractNumId w:val="1"/>
  </w:num>
  <w:num w:numId="8">
    <w:abstractNumId w:val="13"/>
  </w:num>
  <w:num w:numId="9">
    <w:abstractNumId w:val="6"/>
  </w:num>
  <w:num w:numId="10">
    <w:abstractNumId w:val="4"/>
  </w:num>
  <w:num w:numId="11">
    <w:abstractNumId w:val="21"/>
  </w:num>
  <w:num w:numId="12">
    <w:abstractNumId w:val="14"/>
  </w:num>
  <w:num w:numId="13">
    <w:abstractNumId w:val="18"/>
  </w:num>
  <w:num w:numId="14">
    <w:abstractNumId w:val="0"/>
  </w:num>
  <w:num w:numId="15">
    <w:abstractNumId w:val="16"/>
  </w:num>
  <w:num w:numId="16">
    <w:abstractNumId w:val="8"/>
  </w:num>
  <w:num w:numId="17">
    <w:abstractNumId w:val="19"/>
  </w:num>
  <w:num w:numId="18">
    <w:abstractNumId w:val="10"/>
  </w:num>
  <w:num w:numId="19">
    <w:abstractNumId w:val="15"/>
  </w:num>
  <w:num w:numId="20">
    <w:abstractNumId w:val="2"/>
  </w:num>
  <w:num w:numId="21">
    <w:abstractNumId w:val="12"/>
  </w:num>
  <w:num w:numId="22">
    <w:abstractNumId w:val="11"/>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E3"/>
    <w:rsid w:val="00003E20"/>
    <w:rsid w:val="000069E4"/>
    <w:rsid w:val="00007CB0"/>
    <w:rsid w:val="00010A90"/>
    <w:rsid w:val="00015D05"/>
    <w:rsid w:val="000171CC"/>
    <w:rsid w:val="000174C2"/>
    <w:rsid w:val="0002070D"/>
    <w:rsid w:val="0002176B"/>
    <w:rsid w:val="0002184D"/>
    <w:rsid w:val="00021D03"/>
    <w:rsid w:val="000220BC"/>
    <w:rsid w:val="00023604"/>
    <w:rsid w:val="00025BAF"/>
    <w:rsid w:val="00025C4A"/>
    <w:rsid w:val="000277B2"/>
    <w:rsid w:val="000303F6"/>
    <w:rsid w:val="00030685"/>
    <w:rsid w:val="00032508"/>
    <w:rsid w:val="00033281"/>
    <w:rsid w:val="0003358C"/>
    <w:rsid w:val="0003675D"/>
    <w:rsid w:val="00040A89"/>
    <w:rsid w:val="00041DAD"/>
    <w:rsid w:val="00041E95"/>
    <w:rsid w:val="00042126"/>
    <w:rsid w:val="0004440E"/>
    <w:rsid w:val="0004611F"/>
    <w:rsid w:val="00046818"/>
    <w:rsid w:val="00051674"/>
    <w:rsid w:val="000525B1"/>
    <w:rsid w:val="00053E30"/>
    <w:rsid w:val="00054281"/>
    <w:rsid w:val="00054788"/>
    <w:rsid w:val="00054D02"/>
    <w:rsid w:val="00055B5C"/>
    <w:rsid w:val="000568D6"/>
    <w:rsid w:val="000658D9"/>
    <w:rsid w:val="00065D01"/>
    <w:rsid w:val="00066B40"/>
    <w:rsid w:val="0007000D"/>
    <w:rsid w:val="000700F1"/>
    <w:rsid w:val="000707D4"/>
    <w:rsid w:val="0007087D"/>
    <w:rsid w:val="00072385"/>
    <w:rsid w:val="00072C0C"/>
    <w:rsid w:val="00073831"/>
    <w:rsid w:val="00075629"/>
    <w:rsid w:val="00075BB2"/>
    <w:rsid w:val="00075C83"/>
    <w:rsid w:val="0007767E"/>
    <w:rsid w:val="00077C11"/>
    <w:rsid w:val="00080C56"/>
    <w:rsid w:val="00082530"/>
    <w:rsid w:val="00084511"/>
    <w:rsid w:val="000849EE"/>
    <w:rsid w:val="0008521A"/>
    <w:rsid w:val="00085957"/>
    <w:rsid w:val="00087C91"/>
    <w:rsid w:val="000909E7"/>
    <w:rsid w:val="0009129D"/>
    <w:rsid w:val="00091E33"/>
    <w:rsid w:val="00092306"/>
    <w:rsid w:val="00096031"/>
    <w:rsid w:val="0009611E"/>
    <w:rsid w:val="000961F0"/>
    <w:rsid w:val="0009657E"/>
    <w:rsid w:val="000A1811"/>
    <w:rsid w:val="000A1BF4"/>
    <w:rsid w:val="000A1CBB"/>
    <w:rsid w:val="000A2BBE"/>
    <w:rsid w:val="000A3232"/>
    <w:rsid w:val="000A42D6"/>
    <w:rsid w:val="000A68E6"/>
    <w:rsid w:val="000A6C91"/>
    <w:rsid w:val="000A6FEB"/>
    <w:rsid w:val="000A7939"/>
    <w:rsid w:val="000A7E9A"/>
    <w:rsid w:val="000B01F7"/>
    <w:rsid w:val="000B265F"/>
    <w:rsid w:val="000B27EE"/>
    <w:rsid w:val="000B30CD"/>
    <w:rsid w:val="000B37E9"/>
    <w:rsid w:val="000B493D"/>
    <w:rsid w:val="000B4A48"/>
    <w:rsid w:val="000B5079"/>
    <w:rsid w:val="000B6315"/>
    <w:rsid w:val="000B67F7"/>
    <w:rsid w:val="000B6E03"/>
    <w:rsid w:val="000B7A8B"/>
    <w:rsid w:val="000C0BF1"/>
    <w:rsid w:val="000C1ED6"/>
    <w:rsid w:val="000C26F4"/>
    <w:rsid w:val="000C49CF"/>
    <w:rsid w:val="000C4D5C"/>
    <w:rsid w:val="000C72ED"/>
    <w:rsid w:val="000D2C2D"/>
    <w:rsid w:val="000D396B"/>
    <w:rsid w:val="000D43E0"/>
    <w:rsid w:val="000D47EB"/>
    <w:rsid w:val="000D4D4E"/>
    <w:rsid w:val="000D65EA"/>
    <w:rsid w:val="000E0883"/>
    <w:rsid w:val="000E0944"/>
    <w:rsid w:val="000E3320"/>
    <w:rsid w:val="000E6B6D"/>
    <w:rsid w:val="000E76BB"/>
    <w:rsid w:val="000E7F56"/>
    <w:rsid w:val="000F0215"/>
    <w:rsid w:val="000F219D"/>
    <w:rsid w:val="000F28DA"/>
    <w:rsid w:val="000F37B0"/>
    <w:rsid w:val="000F4E77"/>
    <w:rsid w:val="000F51E2"/>
    <w:rsid w:val="000F6003"/>
    <w:rsid w:val="000F6F12"/>
    <w:rsid w:val="000F6FA0"/>
    <w:rsid w:val="000F7661"/>
    <w:rsid w:val="000F7D6B"/>
    <w:rsid w:val="00100911"/>
    <w:rsid w:val="00101D8B"/>
    <w:rsid w:val="00102EE8"/>
    <w:rsid w:val="00103D42"/>
    <w:rsid w:val="001068A1"/>
    <w:rsid w:val="001077C8"/>
    <w:rsid w:val="00111180"/>
    <w:rsid w:val="00111739"/>
    <w:rsid w:val="00111B76"/>
    <w:rsid w:val="001163E0"/>
    <w:rsid w:val="00116C12"/>
    <w:rsid w:val="00120BA9"/>
    <w:rsid w:val="00121BA4"/>
    <w:rsid w:val="00121FB8"/>
    <w:rsid w:val="00123CB6"/>
    <w:rsid w:val="00124F05"/>
    <w:rsid w:val="00127B01"/>
    <w:rsid w:val="001304E7"/>
    <w:rsid w:val="00135538"/>
    <w:rsid w:val="001357C6"/>
    <w:rsid w:val="0013593A"/>
    <w:rsid w:val="00136722"/>
    <w:rsid w:val="00136C1C"/>
    <w:rsid w:val="001411C9"/>
    <w:rsid w:val="00143327"/>
    <w:rsid w:val="00144B51"/>
    <w:rsid w:val="00144BFA"/>
    <w:rsid w:val="0014517B"/>
    <w:rsid w:val="001453CD"/>
    <w:rsid w:val="00145ACF"/>
    <w:rsid w:val="00146302"/>
    <w:rsid w:val="0014798C"/>
    <w:rsid w:val="00147FB5"/>
    <w:rsid w:val="00151140"/>
    <w:rsid w:val="00151E3F"/>
    <w:rsid w:val="00152A83"/>
    <w:rsid w:val="00155515"/>
    <w:rsid w:val="00155785"/>
    <w:rsid w:val="00160613"/>
    <w:rsid w:val="00160B28"/>
    <w:rsid w:val="00161094"/>
    <w:rsid w:val="00161980"/>
    <w:rsid w:val="001634D6"/>
    <w:rsid w:val="00163E8D"/>
    <w:rsid w:val="00164232"/>
    <w:rsid w:val="001655D9"/>
    <w:rsid w:val="001657CA"/>
    <w:rsid w:val="001658D8"/>
    <w:rsid w:val="001673E8"/>
    <w:rsid w:val="00167CD3"/>
    <w:rsid w:val="00171F75"/>
    <w:rsid w:val="00174947"/>
    <w:rsid w:val="00174CF5"/>
    <w:rsid w:val="00175733"/>
    <w:rsid w:val="00175A5F"/>
    <w:rsid w:val="001772A2"/>
    <w:rsid w:val="0018023F"/>
    <w:rsid w:val="00181319"/>
    <w:rsid w:val="001819DD"/>
    <w:rsid w:val="00181B23"/>
    <w:rsid w:val="00181E84"/>
    <w:rsid w:val="00182588"/>
    <w:rsid w:val="00183968"/>
    <w:rsid w:val="00185451"/>
    <w:rsid w:val="00191C94"/>
    <w:rsid w:val="00192D49"/>
    <w:rsid w:val="001941BD"/>
    <w:rsid w:val="001951FC"/>
    <w:rsid w:val="0019570C"/>
    <w:rsid w:val="00195F14"/>
    <w:rsid w:val="001965A7"/>
    <w:rsid w:val="00196AA7"/>
    <w:rsid w:val="00196BC1"/>
    <w:rsid w:val="00197639"/>
    <w:rsid w:val="001A072D"/>
    <w:rsid w:val="001A07F8"/>
    <w:rsid w:val="001A092F"/>
    <w:rsid w:val="001A137A"/>
    <w:rsid w:val="001A1763"/>
    <w:rsid w:val="001A1D97"/>
    <w:rsid w:val="001A2668"/>
    <w:rsid w:val="001A2922"/>
    <w:rsid w:val="001A2DF5"/>
    <w:rsid w:val="001A327B"/>
    <w:rsid w:val="001A3A82"/>
    <w:rsid w:val="001A4677"/>
    <w:rsid w:val="001A7CED"/>
    <w:rsid w:val="001A7EC9"/>
    <w:rsid w:val="001B0514"/>
    <w:rsid w:val="001B0A05"/>
    <w:rsid w:val="001B0D36"/>
    <w:rsid w:val="001B36E3"/>
    <w:rsid w:val="001B43D2"/>
    <w:rsid w:val="001B6852"/>
    <w:rsid w:val="001C27BA"/>
    <w:rsid w:val="001C71B1"/>
    <w:rsid w:val="001C77C3"/>
    <w:rsid w:val="001D1B51"/>
    <w:rsid w:val="001D4A59"/>
    <w:rsid w:val="001D5B68"/>
    <w:rsid w:val="001D6006"/>
    <w:rsid w:val="001D7555"/>
    <w:rsid w:val="001E2BCE"/>
    <w:rsid w:val="001E7351"/>
    <w:rsid w:val="001E77BB"/>
    <w:rsid w:val="001E7FEE"/>
    <w:rsid w:val="001F01AF"/>
    <w:rsid w:val="001F152B"/>
    <w:rsid w:val="001F23D8"/>
    <w:rsid w:val="001F3F2F"/>
    <w:rsid w:val="001F4439"/>
    <w:rsid w:val="001F505D"/>
    <w:rsid w:val="001F51E3"/>
    <w:rsid w:val="001F6519"/>
    <w:rsid w:val="001F775F"/>
    <w:rsid w:val="0020172A"/>
    <w:rsid w:val="00201B96"/>
    <w:rsid w:val="002035E1"/>
    <w:rsid w:val="00204E1D"/>
    <w:rsid w:val="0020552E"/>
    <w:rsid w:val="00206D8F"/>
    <w:rsid w:val="00207371"/>
    <w:rsid w:val="0021216A"/>
    <w:rsid w:val="002128ED"/>
    <w:rsid w:val="002152EA"/>
    <w:rsid w:val="00215FBF"/>
    <w:rsid w:val="00216034"/>
    <w:rsid w:val="00216D7D"/>
    <w:rsid w:val="00217729"/>
    <w:rsid w:val="00220DB7"/>
    <w:rsid w:val="002215D8"/>
    <w:rsid w:val="0022162E"/>
    <w:rsid w:val="0022174C"/>
    <w:rsid w:val="00222FE5"/>
    <w:rsid w:val="00223C02"/>
    <w:rsid w:val="00232C39"/>
    <w:rsid w:val="00233074"/>
    <w:rsid w:val="00235168"/>
    <w:rsid w:val="002407F3"/>
    <w:rsid w:val="002418A2"/>
    <w:rsid w:val="00241F6A"/>
    <w:rsid w:val="002424FB"/>
    <w:rsid w:val="00243630"/>
    <w:rsid w:val="00243895"/>
    <w:rsid w:val="00243CF6"/>
    <w:rsid w:val="00245D96"/>
    <w:rsid w:val="00250ED0"/>
    <w:rsid w:val="00254692"/>
    <w:rsid w:val="00254938"/>
    <w:rsid w:val="002550D0"/>
    <w:rsid w:val="002551D9"/>
    <w:rsid w:val="00256D07"/>
    <w:rsid w:val="00260DFD"/>
    <w:rsid w:val="0026189D"/>
    <w:rsid w:val="002619CE"/>
    <w:rsid w:val="00261FE2"/>
    <w:rsid w:val="0026297C"/>
    <w:rsid w:val="00264295"/>
    <w:rsid w:val="002654B0"/>
    <w:rsid w:val="002660D6"/>
    <w:rsid w:val="00266366"/>
    <w:rsid w:val="002675DC"/>
    <w:rsid w:val="0027057D"/>
    <w:rsid w:val="00271863"/>
    <w:rsid w:val="002724B8"/>
    <w:rsid w:val="00272521"/>
    <w:rsid w:val="00274F68"/>
    <w:rsid w:val="0028064B"/>
    <w:rsid w:val="0028206C"/>
    <w:rsid w:val="00282DD9"/>
    <w:rsid w:val="0028506B"/>
    <w:rsid w:val="002851EC"/>
    <w:rsid w:val="00285884"/>
    <w:rsid w:val="00285CC7"/>
    <w:rsid w:val="002865D1"/>
    <w:rsid w:val="002867BE"/>
    <w:rsid w:val="00286D7B"/>
    <w:rsid w:val="002871BB"/>
    <w:rsid w:val="00291BBE"/>
    <w:rsid w:val="00291FFF"/>
    <w:rsid w:val="00292658"/>
    <w:rsid w:val="00292A84"/>
    <w:rsid w:val="00294DD7"/>
    <w:rsid w:val="002956E5"/>
    <w:rsid w:val="00296B35"/>
    <w:rsid w:val="00297023"/>
    <w:rsid w:val="00297884"/>
    <w:rsid w:val="002A08F9"/>
    <w:rsid w:val="002A17B0"/>
    <w:rsid w:val="002A2900"/>
    <w:rsid w:val="002A5060"/>
    <w:rsid w:val="002A682C"/>
    <w:rsid w:val="002B0E11"/>
    <w:rsid w:val="002B4314"/>
    <w:rsid w:val="002B4377"/>
    <w:rsid w:val="002B6306"/>
    <w:rsid w:val="002B6723"/>
    <w:rsid w:val="002B6E43"/>
    <w:rsid w:val="002C02F5"/>
    <w:rsid w:val="002C06C2"/>
    <w:rsid w:val="002C2600"/>
    <w:rsid w:val="002C2B90"/>
    <w:rsid w:val="002C30D0"/>
    <w:rsid w:val="002C4679"/>
    <w:rsid w:val="002C518C"/>
    <w:rsid w:val="002C7725"/>
    <w:rsid w:val="002D16AD"/>
    <w:rsid w:val="002D2D5D"/>
    <w:rsid w:val="002D31F6"/>
    <w:rsid w:val="002D3F24"/>
    <w:rsid w:val="002D417A"/>
    <w:rsid w:val="002D43BC"/>
    <w:rsid w:val="002D4B32"/>
    <w:rsid w:val="002D669A"/>
    <w:rsid w:val="002D6894"/>
    <w:rsid w:val="002D696B"/>
    <w:rsid w:val="002D6A15"/>
    <w:rsid w:val="002D7253"/>
    <w:rsid w:val="002D754F"/>
    <w:rsid w:val="002D7B30"/>
    <w:rsid w:val="002E17FD"/>
    <w:rsid w:val="002E2255"/>
    <w:rsid w:val="002E6D7A"/>
    <w:rsid w:val="002E785C"/>
    <w:rsid w:val="002F0377"/>
    <w:rsid w:val="002F35C8"/>
    <w:rsid w:val="002F552C"/>
    <w:rsid w:val="002F7397"/>
    <w:rsid w:val="002F7D0E"/>
    <w:rsid w:val="00303D12"/>
    <w:rsid w:val="00304E41"/>
    <w:rsid w:val="003053AF"/>
    <w:rsid w:val="00306EEA"/>
    <w:rsid w:val="003112D9"/>
    <w:rsid w:val="00311CB2"/>
    <w:rsid w:val="00313CAE"/>
    <w:rsid w:val="00314A82"/>
    <w:rsid w:val="003152D2"/>
    <w:rsid w:val="00315E9C"/>
    <w:rsid w:val="003162EB"/>
    <w:rsid w:val="00316C8A"/>
    <w:rsid w:val="00322323"/>
    <w:rsid w:val="00322391"/>
    <w:rsid w:val="00322884"/>
    <w:rsid w:val="00324EE6"/>
    <w:rsid w:val="00325764"/>
    <w:rsid w:val="00325EB2"/>
    <w:rsid w:val="00326F17"/>
    <w:rsid w:val="00327A96"/>
    <w:rsid w:val="003317DF"/>
    <w:rsid w:val="00333C6C"/>
    <w:rsid w:val="003343BE"/>
    <w:rsid w:val="0033482B"/>
    <w:rsid w:val="00335487"/>
    <w:rsid w:val="00341004"/>
    <w:rsid w:val="0034118D"/>
    <w:rsid w:val="00341AE0"/>
    <w:rsid w:val="00344520"/>
    <w:rsid w:val="00344971"/>
    <w:rsid w:val="00344F03"/>
    <w:rsid w:val="00345B3B"/>
    <w:rsid w:val="00346D9B"/>
    <w:rsid w:val="0034711D"/>
    <w:rsid w:val="003510BD"/>
    <w:rsid w:val="00351A26"/>
    <w:rsid w:val="00351DC4"/>
    <w:rsid w:val="00351E88"/>
    <w:rsid w:val="00352397"/>
    <w:rsid w:val="00354A0C"/>
    <w:rsid w:val="00354BE6"/>
    <w:rsid w:val="003560B7"/>
    <w:rsid w:val="00356B7E"/>
    <w:rsid w:val="00356D22"/>
    <w:rsid w:val="003602D9"/>
    <w:rsid w:val="00360B20"/>
    <w:rsid w:val="00360CB6"/>
    <w:rsid w:val="00360DC5"/>
    <w:rsid w:val="00362E1B"/>
    <w:rsid w:val="00363F1A"/>
    <w:rsid w:val="0036422F"/>
    <w:rsid w:val="0036500C"/>
    <w:rsid w:val="003656CF"/>
    <w:rsid w:val="003663CC"/>
    <w:rsid w:val="003700F1"/>
    <w:rsid w:val="003711E4"/>
    <w:rsid w:val="00371564"/>
    <w:rsid w:val="00371F16"/>
    <w:rsid w:val="00373952"/>
    <w:rsid w:val="00374126"/>
    <w:rsid w:val="00374355"/>
    <w:rsid w:val="003757E0"/>
    <w:rsid w:val="0037589F"/>
    <w:rsid w:val="00377200"/>
    <w:rsid w:val="00377820"/>
    <w:rsid w:val="00377DC3"/>
    <w:rsid w:val="003800FB"/>
    <w:rsid w:val="00380831"/>
    <w:rsid w:val="00380CEB"/>
    <w:rsid w:val="00382B6A"/>
    <w:rsid w:val="00385692"/>
    <w:rsid w:val="00386515"/>
    <w:rsid w:val="0039024E"/>
    <w:rsid w:val="00392AC0"/>
    <w:rsid w:val="00392C57"/>
    <w:rsid w:val="00393AE5"/>
    <w:rsid w:val="003954E1"/>
    <w:rsid w:val="00395887"/>
    <w:rsid w:val="003A1D8E"/>
    <w:rsid w:val="003A46CF"/>
    <w:rsid w:val="003A67F6"/>
    <w:rsid w:val="003B10F1"/>
    <w:rsid w:val="003B1535"/>
    <w:rsid w:val="003B2223"/>
    <w:rsid w:val="003B3B59"/>
    <w:rsid w:val="003B3C7F"/>
    <w:rsid w:val="003B4C47"/>
    <w:rsid w:val="003B4E29"/>
    <w:rsid w:val="003B50C3"/>
    <w:rsid w:val="003B526A"/>
    <w:rsid w:val="003B564A"/>
    <w:rsid w:val="003B5C6E"/>
    <w:rsid w:val="003B6608"/>
    <w:rsid w:val="003B77E3"/>
    <w:rsid w:val="003B7AD8"/>
    <w:rsid w:val="003C08F9"/>
    <w:rsid w:val="003C0949"/>
    <w:rsid w:val="003C21AF"/>
    <w:rsid w:val="003C287D"/>
    <w:rsid w:val="003C2F5F"/>
    <w:rsid w:val="003C3DE4"/>
    <w:rsid w:val="003C5052"/>
    <w:rsid w:val="003C5653"/>
    <w:rsid w:val="003C5B1F"/>
    <w:rsid w:val="003C6D5E"/>
    <w:rsid w:val="003C78BE"/>
    <w:rsid w:val="003C7B19"/>
    <w:rsid w:val="003D04BF"/>
    <w:rsid w:val="003D2577"/>
    <w:rsid w:val="003D5F37"/>
    <w:rsid w:val="003D6A69"/>
    <w:rsid w:val="003D7954"/>
    <w:rsid w:val="003E0B50"/>
    <w:rsid w:val="003E4DA1"/>
    <w:rsid w:val="003E7ED5"/>
    <w:rsid w:val="003F24DB"/>
    <w:rsid w:val="003F26B0"/>
    <w:rsid w:val="003F2AA0"/>
    <w:rsid w:val="003F30FE"/>
    <w:rsid w:val="003F4463"/>
    <w:rsid w:val="003F4AE4"/>
    <w:rsid w:val="003F6EED"/>
    <w:rsid w:val="00404972"/>
    <w:rsid w:val="004054C8"/>
    <w:rsid w:val="004064FC"/>
    <w:rsid w:val="004076FB"/>
    <w:rsid w:val="00410A9F"/>
    <w:rsid w:val="00412388"/>
    <w:rsid w:val="004206B3"/>
    <w:rsid w:val="0042265C"/>
    <w:rsid w:val="004226C6"/>
    <w:rsid w:val="004243BE"/>
    <w:rsid w:val="004249DA"/>
    <w:rsid w:val="00425209"/>
    <w:rsid w:val="00426533"/>
    <w:rsid w:val="0043064A"/>
    <w:rsid w:val="00430D9B"/>
    <w:rsid w:val="00431ECA"/>
    <w:rsid w:val="004322B5"/>
    <w:rsid w:val="00432404"/>
    <w:rsid w:val="0044047A"/>
    <w:rsid w:val="00440EBF"/>
    <w:rsid w:val="00444386"/>
    <w:rsid w:val="00444E7B"/>
    <w:rsid w:val="00445D86"/>
    <w:rsid w:val="00446632"/>
    <w:rsid w:val="00446CC1"/>
    <w:rsid w:val="0044726A"/>
    <w:rsid w:val="00450C54"/>
    <w:rsid w:val="00454260"/>
    <w:rsid w:val="004542D3"/>
    <w:rsid w:val="004544FF"/>
    <w:rsid w:val="0045480D"/>
    <w:rsid w:val="00455F8A"/>
    <w:rsid w:val="004570ED"/>
    <w:rsid w:val="00457B8A"/>
    <w:rsid w:val="004600E9"/>
    <w:rsid w:val="00462DDE"/>
    <w:rsid w:val="00467FCA"/>
    <w:rsid w:val="00470772"/>
    <w:rsid w:val="00471E04"/>
    <w:rsid w:val="00472239"/>
    <w:rsid w:val="00472775"/>
    <w:rsid w:val="00473080"/>
    <w:rsid w:val="00474914"/>
    <w:rsid w:val="004759DD"/>
    <w:rsid w:val="004760E2"/>
    <w:rsid w:val="0048042F"/>
    <w:rsid w:val="00480DC7"/>
    <w:rsid w:val="004828C3"/>
    <w:rsid w:val="00482C5A"/>
    <w:rsid w:val="00482F4A"/>
    <w:rsid w:val="004868E0"/>
    <w:rsid w:val="00490117"/>
    <w:rsid w:val="00490F45"/>
    <w:rsid w:val="004929F3"/>
    <w:rsid w:val="00493E44"/>
    <w:rsid w:val="00493E96"/>
    <w:rsid w:val="00494BEB"/>
    <w:rsid w:val="00497516"/>
    <w:rsid w:val="004A06B2"/>
    <w:rsid w:val="004A073E"/>
    <w:rsid w:val="004A24A9"/>
    <w:rsid w:val="004A2B22"/>
    <w:rsid w:val="004A2CD8"/>
    <w:rsid w:val="004A3151"/>
    <w:rsid w:val="004A35EB"/>
    <w:rsid w:val="004A419F"/>
    <w:rsid w:val="004A6E00"/>
    <w:rsid w:val="004A729A"/>
    <w:rsid w:val="004B19EE"/>
    <w:rsid w:val="004B4B6D"/>
    <w:rsid w:val="004B6521"/>
    <w:rsid w:val="004B70A5"/>
    <w:rsid w:val="004C1762"/>
    <w:rsid w:val="004C2821"/>
    <w:rsid w:val="004C2B59"/>
    <w:rsid w:val="004C4494"/>
    <w:rsid w:val="004C6887"/>
    <w:rsid w:val="004C6A86"/>
    <w:rsid w:val="004C74EA"/>
    <w:rsid w:val="004D2013"/>
    <w:rsid w:val="004D2DEE"/>
    <w:rsid w:val="004D3BBF"/>
    <w:rsid w:val="004D47D3"/>
    <w:rsid w:val="004D47E6"/>
    <w:rsid w:val="004D4A72"/>
    <w:rsid w:val="004D57B7"/>
    <w:rsid w:val="004D5C47"/>
    <w:rsid w:val="004D5E1B"/>
    <w:rsid w:val="004D751A"/>
    <w:rsid w:val="004E0D55"/>
    <w:rsid w:val="004E0D95"/>
    <w:rsid w:val="004E31BF"/>
    <w:rsid w:val="004E3841"/>
    <w:rsid w:val="004E3908"/>
    <w:rsid w:val="004E39CC"/>
    <w:rsid w:val="004E3AA6"/>
    <w:rsid w:val="004E5CB1"/>
    <w:rsid w:val="004F3F99"/>
    <w:rsid w:val="004F45A8"/>
    <w:rsid w:val="004F5864"/>
    <w:rsid w:val="004F722C"/>
    <w:rsid w:val="0050039F"/>
    <w:rsid w:val="00504873"/>
    <w:rsid w:val="0050511D"/>
    <w:rsid w:val="005063AA"/>
    <w:rsid w:val="0050658C"/>
    <w:rsid w:val="00510313"/>
    <w:rsid w:val="00510B29"/>
    <w:rsid w:val="00511726"/>
    <w:rsid w:val="00512213"/>
    <w:rsid w:val="00514219"/>
    <w:rsid w:val="00516402"/>
    <w:rsid w:val="0052048E"/>
    <w:rsid w:val="00520AB5"/>
    <w:rsid w:val="00520FBC"/>
    <w:rsid w:val="0052279F"/>
    <w:rsid w:val="005233BC"/>
    <w:rsid w:val="00523EF1"/>
    <w:rsid w:val="005243F9"/>
    <w:rsid w:val="005264EE"/>
    <w:rsid w:val="00527959"/>
    <w:rsid w:val="00530912"/>
    <w:rsid w:val="00531020"/>
    <w:rsid w:val="00531069"/>
    <w:rsid w:val="0053463D"/>
    <w:rsid w:val="00534686"/>
    <w:rsid w:val="00535726"/>
    <w:rsid w:val="0053592C"/>
    <w:rsid w:val="00537886"/>
    <w:rsid w:val="00537B58"/>
    <w:rsid w:val="0054097D"/>
    <w:rsid w:val="00540B08"/>
    <w:rsid w:val="00541AB1"/>
    <w:rsid w:val="00541EC7"/>
    <w:rsid w:val="0054448A"/>
    <w:rsid w:val="00544C21"/>
    <w:rsid w:val="00545A31"/>
    <w:rsid w:val="0054669A"/>
    <w:rsid w:val="005471E9"/>
    <w:rsid w:val="00552FC5"/>
    <w:rsid w:val="0055387F"/>
    <w:rsid w:val="005558C7"/>
    <w:rsid w:val="00556E6C"/>
    <w:rsid w:val="00556FA9"/>
    <w:rsid w:val="00560B5E"/>
    <w:rsid w:val="005620B4"/>
    <w:rsid w:val="005620D0"/>
    <w:rsid w:val="00562F48"/>
    <w:rsid w:val="00564762"/>
    <w:rsid w:val="00566ADC"/>
    <w:rsid w:val="005676EF"/>
    <w:rsid w:val="00567939"/>
    <w:rsid w:val="00573FF4"/>
    <w:rsid w:val="005740FC"/>
    <w:rsid w:val="00576AB6"/>
    <w:rsid w:val="00576C36"/>
    <w:rsid w:val="00577869"/>
    <w:rsid w:val="00577E24"/>
    <w:rsid w:val="00581FF5"/>
    <w:rsid w:val="00582154"/>
    <w:rsid w:val="00582353"/>
    <w:rsid w:val="0058271A"/>
    <w:rsid w:val="00582CB4"/>
    <w:rsid w:val="0058340F"/>
    <w:rsid w:val="00585722"/>
    <w:rsid w:val="00585F1C"/>
    <w:rsid w:val="00586A18"/>
    <w:rsid w:val="00590531"/>
    <w:rsid w:val="005912FB"/>
    <w:rsid w:val="00591343"/>
    <w:rsid w:val="005926A9"/>
    <w:rsid w:val="00592FCC"/>
    <w:rsid w:val="00593934"/>
    <w:rsid w:val="00593ACB"/>
    <w:rsid w:val="00594243"/>
    <w:rsid w:val="00595BF0"/>
    <w:rsid w:val="00596C3A"/>
    <w:rsid w:val="00596E03"/>
    <w:rsid w:val="005A0827"/>
    <w:rsid w:val="005A0904"/>
    <w:rsid w:val="005A187C"/>
    <w:rsid w:val="005A37FE"/>
    <w:rsid w:val="005A4988"/>
    <w:rsid w:val="005A569A"/>
    <w:rsid w:val="005A5CA5"/>
    <w:rsid w:val="005A6BE3"/>
    <w:rsid w:val="005A7AD1"/>
    <w:rsid w:val="005B0C0D"/>
    <w:rsid w:val="005B12BB"/>
    <w:rsid w:val="005B26C2"/>
    <w:rsid w:val="005B43D6"/>
    <w:rsid w:val="005B6C05"/>
    <w:rsid w:val="005B7191"/>
    <w:rsid w:val="005B76EF"/>
    <w:rsid w:val="005C0607"/>
    <w:rsid w:val="005C1BA8"/>
    <w:rsid w:val="005C1F64"/>
    <w:rsid w:val="005C2E24"/>
    <w:rsid w:val="005C48DD"/>
    <w:rsid w:val="005C4A50"/>
    <w:rsid w:val="005C5424"/>
    <w:rsid w:val="005C5E38"/>
    <w:rsid w:val="005C6B0A"/>
    <w:rsid w:val="005D290A"/>
    <w:rsid w:val="005D418B"/>
    <w:rsid w:val="005D4B54"/>
    <w:rsid w:val="005D561E"/>
    <w:rsid w:val="005D5A19"/>
    <w:rsid w:val="005D69C6"/>
    <w:rsid w:val="005E0C80"/>
    <w:rsid w:val="005E12E3"/>
    <w:rsid w:val="005E19ED"/>
    <w:rsid w:val="005E30EF"/>
    <w:rsid w:val="005E35BF"/>
    <w:rsid w:val="005E3DFF"/>
    <w:rsid w:val="005E5E0E"/>
    <w:rsid w:val="005E6B12"/>
    <w:rsid w:val="005E7018"/>
    <w:rsid w:val="005F0B93"/>
    <w:rsid w:val="005F25C5"/>
    <w:rsid w:val="005F2FAD"/>
    <w:rsid w:val="005F3C22"/>
    <w:rsid w:val="005F3FD7"/>
    <w:rsid w:val="00600A36"/>
    <w:rsid w:val="006050E4"/>
    <w:rsid w:val="00605E82"/>
    <w:rsid w:val="00606763"/>
    <w:rsid w:val="00606EB7"/>
    <w:rsid w:val="00607CAE"/>
    <w:rsid w:val="006103EF"/>
    <w:rsid w:val="0061093E"/>
    <w:rsid w:val="00615F43"/>
    <w:rsid w:val="00616215"/>
    <w:rsid w:val="00617A1E"/>
    <w:rsid w:val="006202FC"/>
    <w:rsid w:val="00620F5F"/>
    <w:rsid w:val="006214DA"/>
    <w:rsid w:val="00623E27"/>
    <w:rsid w:val="006264CE"/>
    <w:rsid w:val="00626E7B"/>
    <w:rsid w:val="006279A0"/>
    <w:rsid w:val="0063124D"/>
    <w:rsid w:val="0063135C"/>
    <w:rsid w:val="00631AA1"/>
    <w:rsid w:val="00632237"/>
    <w:rsid w:val="00632481"/>
    <w:rsid w:val="00634C36"/>
    <w:rsid w:val="00637A57"/>
    <w:rsid w:val="00637BC0"/>
    <w:rsid w:val="006409BC"/>
    <w:rsid w:val="006412D0"/>
    <w:rsid w:val="006416A4"/>
    <w:rsid w:val="00643279"/>
    <w:rsid w:val="00644C6B"/>
    <w:rsid w:val="006541C6"/>
    <w:rsid w:val="00654A06"/>
    <w:rsid w:val="00654DE2"/>
    <w:rsid w:val="006554C7"/>
    <w:rsid w:val="00655AE9"/>
    <w:rsid w:val="00655F7C"/>
    <w:rsid w:val="006560E6"/>
    <w:rsid w:val="006565C5"/>
    <w:rsid w:val="0065730D"/>
    <w:rsid w:val="006603D2"/>
    <w:rsid w:val="00660472"/>
    <w:rsid w:val="00661D73"/>
    <w:rsid w:val="00662260"/>
    <w:rsid w:val="00662851"/>
    <w:rsid w:val="00662F8F"/>
    <w:rsid w:val="00663B2A"/>
    <w:rsid w:val="006649DF"/>
    <w:rsid w:val="006657DA"/>
    <w:rsid w:val="006666A3"/>
    <w:rsid w:val="00666BB1"/>
    <w:rsid w:val="00667F10"/>
    <w:rsid w:val="00672FC4"/>
    <w:rsid w:val="0067489E"/>
    <w:rsid w:val="00674E1F"/>
    <w:rsid w:val="00674FC8"/>
    <w:rsid w:val="00677B11"/>
    <w:rsid w:val="00680180"/>
    <w:rsid w:val="00683A16"/>
    <w:rsid w:val="00683C99"/>
    <w:rsid w:val="0068585E"/>
    <w:rsid w:val="00685BAE"/>
    <w:rsid w:val="00685C09"/>
    <w:rsid w:val="00685C40"/>
    <w:rsid w:val="00686985"/>
    <w:rsid w:val="00691614"/>
    <w:rsid w:val="00693D11"/>
    <w:rsid w:val="0069423E"/>
    <w:rsid w:val="00695A1F"/>
    <w:rsid w:val="00695E04"/>
    <w:rsid w:val="006A0898"/>
    <w:rsid w:val="006A36D5"/>
    <w:rsid w:val="006A4DFE"/>
    <w:rsid w:val="006A6111"/>
    <w:rsid w:val="006A693A"/>
    <w:rsid w:val="006A6E6D"/>
    <w:rsid w:val="006A6EA6"/>
    <w:rsid w:val="006A71EF"/>
    <w:rsid w:val="006A7704"/>
    <w:rsid w:val="006A7D9C"/>
    <w:rsid w:val="006B06BD"/>
    <w:rsid w:val="006B3EE5"/>
    <w:rsid w:val="006B467A"/>
    <w:rsid w:val="006B67F6"/>
    <w:rsid w:val="006B7922"/>
    <w:rsid w:val="006B7E13"/>
    <w:rsid w:val="006C0751"/>
    <w:rsid w:val="006C0FF7"/>
    <w:rsid w:val="006C1207"/>
    <w:rsid w:val="006C2311"/>
    <w:rsid w:val="006C25FD"/>
    <w:rsid w:val="006C285C"/>
    <w:rsid w:val="006C2B10"/>
    <w:rsid w:val="006C5288"/>
    <w:rsid w:val="006D0BBA"/>
    <w:rsid w:val="006D0E38"/>
    <w:rsid w:val="006D17D1"/>
    <w:rsid w:val="006D430D"/>
    <w:rsid w:val="006D5854"/>
    <w:rsid w:val="006D5869"/>
    <w:rsid w:val="006D67D4"/>
    <w:rsid w:val="006E0B70"/>
    <w:rsid w:val="006E2CCC"/>
    <w:rsid w:val="006E3BE5"/>
    <w:rsid w:val="006E51D5"/>
    <w:rsid w:val="006E5FA1"/>
    <w:rsid w:val="006E624C"/>
    <w:rsid w:val="006F0046"/>
    <w:rsid w:val="006F13CD"/>
    <w:rsid w:val="006F2DDB"/>
    <w:rsid w:val="006F4A6B"/>
    <w:rsid w:val="006F4F85"/>
    <w:rsid w:val="006F5832"/>
    <w:rsid w:val="00701165"/>
    <w:rsid w:val="00701C86"/>
    <w:rsid w:val="0070556F"/>
    <w:rsid w:val="0070578C"/>
    <w:rsid w:val="00706A0E"/>
    <w:rsid w:val="00711B06"/>
    <w:rsid w:val="00712BEE"/>
    <w:rsid w:val="00713142"/>
    <w:rsid w:val="007155C9"/>
    <w:rsid w:val="007167F6"/>
    <w:rsid w:val="0072475F"/>
    <w:rsid w:val="00727308"/>
    <w:rsid w:val="007277F0"/>
    <w:rsid w:val="00730E1A"/>
    <w:rsid w:val="00733DED"/>
    <w:rsid w:val="00736AFE"/>
    <w:rsid w:val="0074052B"/>
    <w:rsid w:val="00740CED"/>
    <w:rsid w:val="0074199D"/>
    <w:rsid w:val="007421FB"/>
    <w:rsid w:val="00744395"/>
    <w:rsid w:val="00745326"/>
    <w:rsid w:val="0074558A"/>
    <w:rsid w:val="00745C4E"/>
    <w:rsid w:val="0074613F"/>
    <w:rsid w:val="007468BA"/>
    <w:rsid w:val="0075046C"/>
    <w:rsid w:val="00751520"/>
    <w:rsid w:val="00753F7E"/>
    <w:rsid w:val="007554A3"/>
    <w:rsid w:val="00755956"/>
    <w:rsid w:val="00757BC6"/>
    <w:rsid w:val="00761467"/>
    <w:rsid w:val="00762764"/>
    <w:rsid w:val="0076308B"/>
    <w:rsid w:val="007649F3"/>
    <w:rsid w:val="00765247"/>
    <w:rsid w:val="00765C46"/>
    <w:rsid w:val="00766066"/>
    <w:rsid w:val="00766E7E"/>
    <w:rsid w:val="00767B35"/>
    <w:rsid w:val="00767CEB"/>
    <w:rsid w:val="00773B9E"/>
    <w:rsid w:val="00773E9D"/>
    <w:rsid w:val="00774083"/>
    <w:rsid w:val="00775788"/>
    <w:rsid w:val="0077728B"/>
    <w:rsid w:val="0077731D"/>
    <w:rsid w:val="00777D09"/>
    <w:rsid w:val="00777E59"/>
    <w:rsid w:val="00781703"/>
    <w:rsid w:val="00781EDB"/>
    <w:rsid w:val="0078202E"/>
    <w:rsid w:val="00782B3D"/>
    <w:rsid w:val="007849D4"/>
    <w:rsid w:val="00785A56"/>
    <w:rsid w:val="00786708"/>
    <w:rsid w:val="00793808"/>
    <w:rsid w:val="00796218"/>
    <w:rsid w:val="007A0302"/>
    <w:rsid w:val="007A1087"/>
    <w:rsid w:val="007A113D"/>
    <w:rsid w:val="007A2CED"/>
    <w:rsid w:val="007A5A60"/>
    <w:rsid w:val="007B0388"/>
    <w:rsid w:val="007B0912"/>
    <w:rsid w:val="007B356F"/>
    <w:rsid w:val="007B482C"/>
    <w:rsid w:val="007B5159"/>
    <w:rsid w:val="007B5883"/>
    <w:rsid w:val="007B5B42"/>
    <w:rsid w:val="007B5D98"/>
    <w:rsid w:val="007B6262"/>
    <w:rsid w:val="007C37D3"/>
    <w:rsid w:val="007C4506"/>
    <w:rsid w:val="007C4AD8"/>
    <w:rsid w:val="007C59EC"/>
    <w:rsid w:val="007C60C8"/>
    <w:rsid w:val="007D03D8"/>
    <w:rsid w:val="007D04D0"/>
    <w:rsid w:val="007D1420"/>
    <w:rsid w:val="007D17CE"/>
    <w:rsid w:val="007D2E9B"/>
    <w:rsid w:val="007D45E9"/>
    <w:rsid w:val="007D5970"/>
    <w:rsid w:val="007D7BCC"/>
    <w:rsid w:val="007E007D"/>
    <w:rsid w:val="007E1178"/>
    <w:rsid w:val="007E6F2A"/>
    <w:rsid w:val="007F1A43"/>
    <w:rsid w:val="007F27A8"/>
    <w:rsid w:val="007F2920"/>
    <w:rsid w:val="007F2DA7"/>
    <w:rsid w:val="007F2E7E"/>
    <w:rsid w:val="007F2EA4"/>
    <w:rsid w:val="007F4FE7"/>
    <w:rsid w:val="007F520D"/>
    <w:rsid w:val="007F7F50"/>
    <w:rsid w:val="008006EF"/>
    <w:rsid w:val="00801CD4"/>
    <w:rsid w:val="00802702"/>
    <w:rsid w:val="008045D7"/>
    <w:rsid w:val="008071D8"/>
    <w:rsid w:val="00810771"/>
    <w:rsid w:val="008108FD"/>
    <w:rsid w:val="00810AF3"/>
    <w:rsid w:val="00810D11"/>
    <w:rsid w:val="00810FAC"/>
    <w:rsid w:val="008110F4"/>
    <w:rsid w:val="00811AD2"/>
    <w:rsid w:val="008123DA"/>
    <w:rsid w:val="008145A0"/>
    <w:rsid w:val="0081506C"/>
    <w:rsid w:val="00816193"/>
    <w:rsid w:val="008171F8"/>
    <w:rsid w:val="008175DC"/>
    <w:rsid w:val="00817894"/>
    <w:rsid w:val="00822A0C"/>
    <w:rsid w:val="00822EFB"/>
    <w:rsid w:val="008230BC"/>
    <w:rsid w:val="00823825"/>
    <w:rsid w:val="008257A9"/>
    <w:rsid w:val="00825AF0"/>
    <w:rsid w:val="00826093"/>
    <w:rsid w:val="008265D6"/>
    <w:rsid w:val="00831812"/>
    <w:rsid w:val="00834B3B"/>
    <w:rsid w:val="00834E66"/>
    <w:rsid w:val="008362ED"/>
    <w:rsid w:val="00841814"/>
    <w:rsid w:val="00841B65"/>
    <w:rsid w:val="00841D8D"/>
    <w:rsid w:val="00841E01"/>
    <w:rsid w:val="008427B1"/>
    <w:rsid w:val="008431E3"/>
    <w:rsid w:val="00844896"/>
    <w:rsid w:val="00845AA1"/>
    <w:rsid w:val="008469EF"/>
    <w:rsid w:val="00846AE6"/>
    <w:rsid w:val="00851717"/>
    <w:rsid w:val="00853CE2"/>
    <w:rsid w:val="00854C05"/>
    <w:rsid w:val="00857076"/>
    <w:rsid w:val="008610C3"/>
    <w:rsid w:val="0086289A"/>
    <w:rsid w:val="008629A2"/>
    <w:rsid w:val="00862E8E"/>
    <w:rsid w:val="008635D2"/>
    <w:rsid w:val="0086425C"/>
    <w:rsid w:val="00865046"/>
    <w:rsid w:val="00865715"/>
    <w:rsid w:val="00866678"/>
    <w:rsid w:val="00872A99"/>
    <w:rsid w:val="00873672"/>
    <w:rsid w:val="00873A6F"/>
    <w:rsid w:val="00873BFE"/>
    <w:rsid w:val="00875060"/>
    <w:rsid w:val="008770A8"/>
    <w:rsid w:val="00877579"/>
    <w:rsid w:val="0088033A"/>
    <w:rsid w:val="00880A96"/>
    <w:rsid w:val="00881A84"/>
    <w:rsid w:val="00881BF2"/>
    <w:rsid w:val="00882975"/>
    <w:rsid w:val="00883327"/>
    <w:rsid w:val="00884DB0"/>
    <w:rsid w:val="00886289"/>
    <w:rsid w:val="008872CA"/>
    <w:rsid w:val="0089001E"/>
    <w:rsid w:val="008913A8"/>
    <w:rsid w:val="00892882"/>
    <w:rsid w:val="00892E0E"/>
    <w:rsid w:val="00894F32"/>
    <w:rsid w:val="008962C5"/>
    <w:rsid w:val="00896E26"/>
    <w:rsid w:val="0089714E"/>
    <w:rsid w:val="008A1BF7"/>
    <w:rsid w:val="008A1C8F"/>
    <w:rsid w:val="008A22BF"/>
    <w:rsid w:val="008A3E79"/>
    <w:rsid w:val="008A5325"/>
    <w:rsid w:val="008B124F"/>
    <w:rsid w:val="008B16B7"/>
    <w:rsid w:val="008B1789"/>
    <w:rsid w:val="008B46FD"/>
    <w:rsid w:val="008B500F"/>
    <w:rsid w:val="008B6CF3"/>
    <w:rsid w:val="008B7E81"/>
    <w:rsid w:val="008C1700"/>
    <w:rsid w:val="008C1D37"/>
    <w:rsid w:val="008C247F"/>
    <w:rsid w:val="008C280C"/>
    <w:rsid w:val="008C297E"/>
    <w:rsid w:val="008C3872"/>
    <w:rsid w:val="008C6D68"/>
    <w:rsid w:val="008D0247"/>
    <w:rsid w:val="008D0B78"/>
    <w:rsid w:val="008D157F"/>
    <w:rsid w:val="008D217C"/>
    <w:rsid w:val="008D267F"/>
    <w:rsid w:val="008D4997"/>
    <w:rsid w:val="008D4F98"/>
    <w:rsid w:val="008D6F8D"/>
    <w:rsid w:val="008D7C8C"/>
    <w:rsid w:val="008D7D04"/>
    <w:rsid w:val="008E0276"/>
    <w:rsid w:val="008E06F5"/>
    <w:rsid w:val="008E40E1"/>
    <w:rsid w:val="008E46AF"/>
    <w:rsid w:val="008E4F75"/>
    <w:rsid w:val="008E5140"/>
    <w:rsid w:val="008E65E7"/>
    <w:rsid w:val="008F2488"/>
    <w:rsid w:val="008F26EF"/>
    <w:rsid w:val="008F2ED8"/>
    <w:rsid w:val="008F42CE"/>
    <w:rsid w:val="008F4C81"/>
    <w:rsid w:val="008F66A2"/>
    <w:rsid w:val="008F7538"/>
    <w:rsid w:val="00900346"/>
    <w:rsid w:val="00901BE9"/>
    <w:rsid w:val="00902267"/>
    <w:rsid w:val="00902DCE"/>
    <w:rsid w:val="0090462B"/>
    <w:rsid w:val="00905052"/>
    <w:rsid w:val="00905414"/>
    <w:rsid w:val="00905B4A"/>
    <w:rsid w:val="00905D45"/>
    <w:rsid w:val="00907089"/>
    <w:rsid w:val="00907358"/>
    <w:rsid w:val="00912ECE"/>
    <w:rsid w:val="009136E3"/>
    <w:rsid w:val="00917865"/>
    <w:rsid w:val="00917B74"/>
    <w:rsid w:val="009203AA"/>
    <w:rsid w:val="009205F9"/>
    <w:rsid w:val="00920E83"/>
    <w:rsid w:val="00923169"/>
    <w:rsid w:val="009234F4"/>
    <w:rsid w:val="009240F0"/>
    <w:rsid w:val="00925CC9"/>
    <w:rsid w:val="009313A0"/>
    <w:rsid w:val="009321BA"/>
    <w:rsid w:val="009325D0"/>
    <w:rsid w:val="00933039"/>
    <w:rsid w:val="009335F1"/>
    <w:rsid w:val="00934122"/>
    <w:rsid w:val="00934258"/>
    <w:rsid w:val="00940CDE"/>
    <w:rsid w:val="009419B5"/>
    <w:rsid w:val="00941A42"/>
    <w:rsid w:val="00941B9F"/>
    <w:rsid w:val="00942D59"/>
    <w:rsid w:val="0094324B"/>
    <w:rsid w:val="00943EAA"/>
    <w:rsid w:val="00943F12"/>
    <w:rsid w:val="0094712C"/>
    <w:rsid w:val="009479DD"/>
    <w:rsid w:val="0095252C"/>
    <w:rsid w:val="0095532D"/>
    <w:rsid w:val="00956288"/>
    <w:rsid w:val="00956344"/>
    <w:rsid w:val="00957439"/>
    <w:rsid w:val="00960247"/>
    <w:rsid w:val="00960CCE"/>
    <w:rsid w:val="00963D0E"/>
    <w:rsid w:val="009644E3"/>
    <w:rsid w:val="00970532"/>
    <w:rsid w:val="009745D6"/>
    <w:rsid w:val="00977928"/>
    <w:rsid w:val="00980D42"/>
    <w:rsid w:val="00980EE9"/>
    <w:rsid w:val="00981B0B"/>
    <w:rsid w:val="00981F9F"/>
    <w:rsid w:val="00982C4F"/>
    <w:rsid w:val="00983E84"/>
    <w:rsid w:val="00984C00"/>
    <w:rsid w:val="009854AD"/>
    <w:rsid w:val="00985CFC"/>
    <w:rsid w:val="00986F6A"/>
    <w:rsid w:val="009922F5"/>
    <w:rsid w:val="009928B8"/>
    <w:rsid w:val="00992F0E"/>
    <w:rsid w:val="00995F93"/>
    <w:rsid w:val="009960A6"/>
    <w:rsid w:val="00996188"/>
    <w:rsid w:val="009962DA"/>
    <w:rsid w:val="00996602"/>
    <w:rsid w:val="00996855"/>
    <w:rsid w:val="00997516"/>
    <w:rsid w:val="009A13EE"/>
    <w:rsid w:val="009A1AB1"/>
    <w:rsid w:val="009A2810"/>
    <w:rsid w:val="009A43C3"/>
    <w:rsid w:val="009A5B75"/>
    <w:rsid w:val="009A6B5A"/>
    <w:rsid w:val="009B0EB5"/>
    <w:rsid w:val="009C0EE1"/>
    <w:rsid w:val="009C1720"/>
    <w:rsid w:val="009C1AB8"/>
    <w:rsid w:val="009C4401"/>
    <w:rsid w:val="009C45CC"/>
    <w:rsid w:val="009C46D4"/>
    <w:rsid w:val="009C6203"/>
    <w:rsid w:val="009C638F"/>
    <w:rsid w:val="009D08DA"/>
    <w:rsid w:val="009D1ED2"/>
    <w:rsid w:val="009D31A6"/>
    <w:rsid w:val="009D3C0B"/>
    <w:rsid w:val="009D5F5B"/>
    <w:rsid w:val="009D6B42"/>
    <w:rsid w:val="009D73F0"/>
    <w:rsid w:val="009E385C"/>
    <w:rsid w:val="009E5957"/>
    <w:rsid w:val="009F0381"/>
    <w:rsid w:val="009F2BA0"/>
    <w:rsid w:val="009F3694"/>
    <w:rsid w:val="009F3791"/>
    <w:rsid w:val="009F3D61"/>
    <w:rsid w:val="009F4328"/>
    <w:rsid w:val="009F4736"/>
    <w:rsid w:val="009F4C49"/>
    <w:rsid w:val="009F56DF"/>
    <w:rsid w:val="009F62D0"/>
    <w:rsid w:val="009F6DDA"/>
    <w:rsid w:val="00A005CA"/>
    <w:rsid w:val="00A015C8"/>
    <w:rsid w:val="00A0383C"/>
    <w:rsid w:val="00A044B0"/>
    <w:rsid w:val="00A04F02"/>
    <w:rsid w:val="00A0680C"/>
    <w:rsid w:val="00A07665"/>
    <w:rsid w:val="00A07B88"/>
    <w:rsid w:val="00A07EB2"/>
    <w:rsid w:val="00A1070A"/>
    <w:rsid w:val="00A10C46"/>
    <w:rsid w:val="00A1256D"/>
    <w:rsid w:val="00A12679"/>
    <w:rsid w:val="00A12CB1"/>
    <w:rsid w:val="00A12E05"/>
    <w:rsid w:val="00A131BF"/>
    <w:rsid w:val="00A17081"/>
    <w:rsid w:val="00A20130"/>
    <w:rsid w:val="00A221AE"/>
    <w:rsid w:val="00A22FEA"/>
    <w:rsid w:val="00A23A16"/>
    <w:rsid w:val="00A24A5C"/>
    <w:rsid w:val="00A2751B"/>
    <w:rsid w:val="00A31661"/>
    <w:rsid w:val="00A31B18"/>
    <w:rsid w:val="00A34D25"/>
    <w:rsid w:val="00A35B4E"/>
    <w:rsid w:val="00A36A19"/>
    <w:rsid w:val="00A37BDA"/>
    <w:rsid w:val="00A40816"/>
    <w:rsid w:val="00A41D48"/>
    <w:rsid w:val="00A420A7"/>
    <w:rsid w:val="00A42F77"/>
    <w:rsid w:val="00A44733"/>
    <w:rsid w:val="00A50334"/>
    <w:rsid w:val="00A5337C"/>
    <w:rsid w:val="00A53BF7"/>
    <w:rsid w:val="00A56CC4"/>
    <w:rsid w:val="00A5784A"/>
    <w:rsid w:val="00A610EE"/>
    <w:rsid w:val="00A61322"/>
    <w:rsid w:val="00A617A7"/>
    <w:rsid w:val="00A61EE4"/>
    <w:rsid w:val="00A62FA6"/>
    <w:rsid w:val="00A6339A"/>
    <w:rsid w:val="00A636E7"/>
    <w:rsid w:val="00A641E0"/>
    <w:rsid w:val="00A6465B"/>
    <w:rsid w:val="00A663B0"/>
    <w:rsid w:val="00A669CE"/>
    <w:rsid w:val="00A66B5E"/>
    <w:rsid w:val="00A66F2D"/>
    <w:rsid w:val="00A67EBF"/>
    <w:rsid w:val="00A7088A"/>
    <w:rsid w:val="00A708A1"/>
    <w:rsid w:val="00A717A6"/>
    <w:rsid w:val="00A72DCA"/>
    <w:rsid w:val="00A73B21"/>
    <w:rsid w:val="00A740AC"/>
    <w:rsid w:val="00A758D3"/>
    <w:rsid w:val="00A75E60"/>
    <w:rsid w:val="00A761DF"/>
    <w:rsid w:val="00A76D50"/>
    <w:rsid w:val="00A77420"/>
    <w:rsid w:val="00A803E2"/>
    <w:rsid w:val="00A80DA4"/>
    <w:rsid w:val="00A819C6"/>
    <w:rsid w:val="00A82739"/>
    <w:rsid w:val="00A82DAD"/>
    <w:rsid w:val="00A83552"/>
    <w:rsid w:val="00A869C2"/>
    <w:rsid w:val="00A876A1"/>
    <w:rsid w:val="00A87C37"/>
    <w:rsid w:val="00A87EBC"/>
    <w:rsid w:val="00A93887"/>
    <w:rsid w:val="00A940D6"/>
    <w:rsid w:val="00A96981"/>
    <w:rsid w:val="00A96EC3"/>
    <w:rsid w:val="00A96F76"/>
    <w:rsid w:val="00A97756"/>
    <w:rsid w:val="00AA1588"/>
    <w:rsid w:val="00AA1ED6"/>
    <w:rsid w:val="00AA2224"/>
    <w:rsid w:val="00AA3E14"/>
    <w:rsid w:val="00AA6176"/>
    <w:rsid w:val="00AA70A1"/>
    <w:rsid w:val="00AA79BD"/>
    <w:rsid w:val="00AA7D99"/>
    <w:rsid w:val="00AB01B4"/>
    <w:rsid w:val="00AB0900"/>
    <w:rsid w:val="00AB11D4"/>
    <w:rsid w:val="00AB1959"/>
    <w:rsid w:val="00AB4670"/>
    <w:rsid w:val="00AB4E68"/>
    <w:rsid w:val="00AB5242"/>
    <w:rsid w:val="00AB6B4A"/>
    <w:rsid w:val="00AB7DD6"/>
    <w:rsid w:val="00AC02F4"/>
    <w:rsid w:val="00AC070D"/>
    <w:rsid w:val="00AC2256"/>
    <w:rsid w:val="00AC2A74"/>
    <w:rsid w:val="00AC2EA7"/>
    <w:rsid w:val="00AC3ACD"/>
    <w:rsid w:val="00AC4355"/>
    <w:rsid w:val="00AC49B9"/>
    <w:rsid w:val="00AC5468"/>
    <w:rsid w:val="00AC5B29"/>
    <w:rsid w:val="00AC61D5"/>
    <w:rsid w:val="00AC6917"/>
    <w:rsid w:val="00AC74B4"/>
    <w:rsid w:val="00AC75EE"/>
    <w:rsid w:val="00AD0CED"/>
    <w:rsid w:val="00AD0EB8"/>
    <w:rsid w:val="00AD3455"/>
    <w:rsid w:val="00AD4A02"/>
    <w:rsid w:val="00AD5768"/>
    <w:rsid w:val="00AD7A9A"/>
    <w:rsid w:val="00AE062F"/>
    <w:rsid w:val="00AE092D"/>
    <w:rsid w:val="00AE09A3"/>
    <w:rsid w:val="00AE134B"/>
    <w:rsid w:val="00AE1B48"/>
    <w:rsid w:val="00AE212B"/>
    <w:rsid w:val="00AE4082"/>
    <w:rsid w:val="00AE500F"/>
    <w:rsid w:val="00AF6452"/>
    <w:rsid w:val="00AF7281"/>
    <w:rsid w:val="00AF75F4"/>
    <w:rsid w:val="00B00695"/>
    <w:rsid w:val="00B00ACA"/>
    <w:rsid w:val="00B02051"/>
    <w:rsid w:val="00B04863"/>
    <w:rsid w:val="00B06BD7"/>
    <w:rsid w:val="00B06E67"/>
    <w:rsid w:val="00B07A15"/>
    <w:rsid w:val="00B07B42"/>
    <w:rsid w:val="00B1031B"/>
    <w:rsid w:val="00B1047E"/>
    <w:rsid w:val="00B10D31"/>
    <w:rsid w:val="00B127D7"/>
    <w:rsid w:val="00B1457A"/>
    <w:rsid w:val="00B1550B"/>
    <w:rsid w:val="00B1593D"/>
    <w:rsid w:val="00B166C5"/>
    <w:rsid w:val="00B21494"/>
    <w:rsid w:val="00B2150A"/>
    <w:rsid w:val="00B21933"/>
    <w:rsid w:val="00B23449"/>
    <w:rsid w:val="00B24C49"/>
    <w:rsid w:val="00B26CEB"/>
    <w:rsid w:val="00B27394"/>
    <w:rsid w:val="00B27B88"/>
    <w:rsid w:val="00B27E8D"/>
    <w:rsid w:val="00B30DD6"/>
    <w:rsid w:val="00B31281"/>
    <w:rsid w:val="00B332DA"/>
    <w:rsid w:val="00B344B7"/>
    <w:rsid w:val="00B351A9"/>
    <w:rsid w:val="00B362BA"/>
    <w:rsid w:val="00B36918"/>
    <w:rsid w:val="00B430A2"/>
    <w:rsid w:val="00B45881"/>
    <w:rsid w:val="00B45B90"/>
    <w:rsid w:val="00B470A3"/>
    <w:rsid w:val="00B510B8"/>
    <w:rsid w:val="00B55D1B"/>
    <w:rsid w:val="00B5616E"/>
    <w:rsid w:val="00B574A7"/>
    <w:rsid w:val="00B606B7"/>
    <w:rsid w:val="00B610AD"/>
    <w:rsid w:val="00B614D7"/>
    <w:rsid w:val="00B61D99"/>
    <w:rsid w:val="00B62675"/>
    <w:rsid w:val="00B63BC9"/>
    <w:rsid w:val="00B63C10"/>
    <w:rsid w:val="00B67559"/>
    <w:rsid w:val="00B7067A"/>
    <w:rsid w:val="00B70993"/>
    <w:rsid w:val="00B7539F"/>
    <w:rsid w:val="00B7609B"/>
    <w:rsid w:val="00B77631"/>
    <w:rsid w:val="00B77938"/>
    <w:rsid w:val="00B77A53"/>
    <w:rsid w:val="00B812D8"/>
    <w:rsid w:val="00B846EB"/>
    <w:rsid w:val="00B8484D"/>
    <w:rsid w:val="00B8558E"/>
    <w:rsid w:val="00B8743D"/>
    <w:rsid w:val="00B90DAA"/>
    <w:rsid w:val="00B91193"/>
    <w:rsid w:val="00B91D5C"/>
    <w:rsid w:val="00B91E7A"/>
    <w:rsid w:val="00B920C6"/>
    <w:rsid w:val="00B95810"/>
    <w:rsid w:val="00B96BAF"/>
    <w:rsid w:val="00B97DC3"/>
    <w:rsid w:val="00BA1E42"/>
    <w:rsid w:val="00BA3B72"/>
    <w:rsid w:val="00BA49CE"/>
    <w:rsid w:val="00BA64B7"/>
    <w:rsid w:val="00BA74C5"/>
    <w:rsid w:val="00BA7D64"/>
    <w:rsid w:val="00BB0136"/>
    <w:rsid w:val="00BB01C8"/>
    <w:rsid w:val="00BB159D"/>
    <w:rsid w:val="00BB18B4"/>
    <w:rsid w:val="00BB2275"/>
    <w:rsid w:val="00BB2D2F"/>
    <w:rsid w:val="00BB2D93"/>
    <w:rsid w:val="00BB30B5"/>
    <w:rsid w:val="00BB3482"/>
    <w:rsid w:val="00BB3ED5"/>
    <w:rsid w:val="00BB590C"/>
    <w:rsid w:val="00BB692C"/>
    <w:rsid w:val="00BB6D52"/>
    <w:rsid w:val="00BC04DD"/>
    <w:rsid w:val="00BC2DC7"/>
    <w:rsid w:val="00BC352F"/>
    <w:rsid w:val="00BC3C90"/>
    <w:rsid w:val="00BC63D6"/>
    <w:rsid w:val="00BC7E2A"/>
    <w:rsid w:val="00BD09CE"/>
    <w:rsid w:val="00BD4622"/>
    <w:rsid w:val="00BD60F3"/>
    <w:rsid w:val="00BD7575"/>
    <w:rsid w:val="00BE1155"/>
    <w:rsid w:val="00BE23E4"/>
    <w:rsid w:val="00BE276A"/>
    <w:rsid w:val="00BE2DFE"/>
    <w:rsid w:val="00BE3827"/>
    <w:rsid w:val="00BE424A"/>
    <w:rsid w:val="00BE70FB"/>
    <w:rsid w:val="00BE7109"/>
    <w:rsid w:val="00BF0B00"/>
    <w:rsid w:val="00BF0C8E"/>
    <w:rsid w:val="00BF1301"/>
    <w:rsid w:val="00BF36BA"/>
    <w:rsid w:val="00BF3C48"/>
    <w:rsid w:val="00BF527D"/>
    <w:rsid w:val="00BF606A"/>
    <w:rsid w:val="00BF6A0B"/>
    <w:rsid w:val="00BF6C76"/>
    <w:rsid w:val="00C0076A"/>
    <w:rsid w:val="00C015A0"/>
    <w:rsid w:val="00C05281"/>
    <w:rsid w:val="00C06F17"/>
    <w:rsid w:val="00C0782D"/>
    <w:rsid w:val="00C07866"/>
    <w:rsid w:val="00C07E7C"/>
    <w:rsid w:val="00C108DF"/>
    <w:rsid w:val="00C1175C"/>
    <w:rsid w:val="00C12DD9"/>
    <w:rsid w:val="00C143D9"/>
    <w:rsid w:val="00C14477"/>
    <w:rsid w:val="00C160F7"/>
    <w:rsid w:val="00C17095"/>
    <w:rsid w:val="00C20973"/>
    <w:rsid w:val="00C2102C"/>
    <w:rsid w:val="00C21BC4"/>
    <w:rsid w:val="00C22759"/>
    <w:rsid w:val="00C22CE0"/>
    <w:rsid w:val="00C23381"/>
    <w:rsid w:val="00C2338E"/>
    <w:rsid w:val="00C233BE"/>
    <w:rsid w:val="00C26B0D"/>
    <w:rsid w:val="00C30819"/>
    <w:rsid w:val="00C30CE1"/>
    <w:rsid w:val="00C326EE"/>
    <w:rsid w:val="00C329D8"/>
    <w:rsid w:val="00C33679"/>
    <w:rsid w:val="00C3398C"/>
    <w:rsid w:val="00C3454D"/>
    <w:rsid w:val="00C34E25"/>
    <w:rsid w:val="00C35B14"/>
    <w:rsid w:val="00C365D2"/>
    <w:rsid w:val="00C37875"/>
    <w:rsid w:val="00C37D5F"/>
    <w:rsid w:val="00C41AEB"/>
    <w:rsid w:val="00C4274D"/>
    <w:rsid w:val="00C435D6"/>
    <w:rsid w:val="00C440E0"/>
    <w:rsid w:val="00C4507D"/>
    <w:rsid w:val="00C45397"/>
    <w:rsid w:val="00C464F1"/>
    <w:rsid w:val="00C46917"/>
    <w:rsid w:val="00C46E9A"/>
    <w:rsid w:val="00C47B1E"/>
    <w:rsid w:val="00C502D9"/>
    <w:rsid w:val="00C50E11"/>
    <w:rsid w:val="00C53B01"/>
    <w:rsid w:val="00C5451C"/>
    <w:rsid w:val="00C574DA"/>
    <w:rsid w:val="00C57EB4"/>
    <w:rsid w:val="00C628F6"/>
    <w:rsid w:val="00C632CA"/>
    <w:rsid w:val="00C647EB"/>
    <w:rsid w:val="00C64C26"/>
    <w:rsid w:val="00C66C42"/>
    <w:rsid w:val="00C66EC4"/>
    <w:rsid w:val="00C67B0E"/>
    <w:rsid w:val="00C7072E"/>
    <w:rsid w:val="00C70D54"/>
    <w:rsid w:val="00C71131"/>
    <w:rsid w:val="00C71BF4"/>
    <w:rsid w:val="00C72CE8"/>
    <w:rsid w:val="00C73D4F"/>
    <w:rsid w:val="00C75F41"/>
    <w:rsid w:val="00C77569"/>
    <w:rsid w:val="00C77BD3"/>
    <w:rsid w:val="00C80165"/>
    <w:rsid w:val="00C8060E"/>
    <w:rsid w:val="00C8199B"/>
    <w:rsid w:val="00C82050"/>
    <w:rsid w:val="00C8215B"/>
    <w:rsid w:val="00C82528"/>
    <w:rsid w:val="00C83034"/>
    <w:rsid w:val="00C830A7"/>
    <w:rsid w:val="00C84075"/>
    <w:rsid w:val="00C840F8"/>
    <w:rsid w:val="00C85AF7"/>
    <w:rsid w:val="00C878AD"/>
    <w:rsid w:val="00C918EC"/>
    <w:rsid w:val="00C944E8"/>
    <w:rsid w:val="00C9477B"/>
    <w:rsid w:val="00C96374"/>
    <w:rsid w:val="00C97FA7"/>
    <w:rsid w:val="00CA1A28"/>
    <w:rsid w:val="00CA220F"/>
    <w:rsid w:val="00CA26A7"/>
    <w:rsid w:val="00CA4790"/>
    <w:rsid w:val="00CA4992"/>
    <w:rsid w:val="00CA670F"/>
    <w:rsid w:val="00CB0777"/>
    <w:rsid w:val="00CB0EA6"/>
    <w:rsid w:val="00CB1432"/>
    <w:rsid w:val="00CB3583"/>
    <w:rsid w:val="00CB36B7"/>
    <w:rsid w:val="00CB4931"/>
    <w:rsid w:val="00CB5783"/>
    <w:rsid w:val="00CB6287"/>
    <w:rsid w:val="00CB69BB"/>
    <w:rsid w:val="00CB6A65"/>
    <w:rsid w:val="00CB742E"/>
    <w:rsid w:val="00CB7AA0"/>
    <w:rsid w:val="00CC0174"/>
    <w:rsid w:val="00CC2FF8"/>
    <w:rsid w:val="00CC394A"/>
    <w:rsid w:val="00CC3C4D"/>
    <w:rsid w:val="00CC57B8"/>
    <w:rsid w:val="00CC6621"/>
    <w:rsid w:val="00CD0190"/>
    <w:rsid w:val="00CD233C"/>
    <w:rsid w:val="00CD5188"/>
    <w:rsid w:val="00CE0898"/>
    <w:rsid w:val="00CE08F4"/>
    <w:rsid w:val="00CE1255"/>
    <w:rsid w:val="00CE13C2"/>
    <w:rsid w:val="00CE1C0C"/>
    <w:rsid w:val="00CE28AC"/>
    <w:rsid w:val="00CE4660"/>
    <w:rsid w:val="00CE4C6A"/>
    <w:rsid w:val="00CE759C"/>
    <w:rsid w:val="00CE7A29"/>
    <w:rsid w:val="00CF015A"/>
    <w:rsid w:val="00CF06A6"/>
    <w:rsid w:val="00CF0ADA"/>
    <w:rsid w:val="00CF1589"/>
    <w:rsid w:val="00CF1F7C"/>
    <w:rsid w:val="00CF369A"/>
    <w:rsid w:val="00CF50AC"/>
    <w:rsid w:val="00CF5535"/>
    <w:rsid w:val="00CF7C99"/>
    <w:rsid w:val="00CF7DCC"/>
    <w:rsid w:val="00D00112"/>
    <w:rsid w:val="00D02FEB"/>
    <w:rsid w:val="00D03745"/>
    <w:rsid w:val="00D03D79"/>
    <w:rsid w:val="00D0617A"/>
    <w:rsid w:val="00D07449"/>
    <w:rsid w:val="00D10956"/>
    <w:rsid w:val="00D120A5"/>
    <w:rsid w:val="00D12302"/>
    <w:rsid w:val="00D1298E"/>
    <w:rsid w:val="00D12F94"/>
    <w:rsid w:val="00D133A2"/>
    <w:rsid w:val="00D139E6"/>
    <w:rsid w:val="00D14302"/>
    <w:rsid w:val="00D20621"/>
    <w:rsid w:val="00D24395"/>
    <w:rsid w:val="00D25EFF"/>
    <w:rsid w:val="00D26A17"/>
    <w:rsid w:val="00D3134C"/>
    <w:rsid w:val="00D31C26"/>
    <w:rsid w:val="00D35224"/>
    <w:rsid w:val="00D35350"/>
    <w:rsid w:val="00D37EAA"/>
    <w:rsid w:val="00D403E6"/>
    <w:rsid w:val="00D404CD"/>
    <w:rsid w:val="00D41176"/>
    <w:rsid w:val="00D417B7"/>
    <w:rsid w:val="00D419EB"/>
    <w:rsid w:val="00D42347"/>
    <w:rsid w:val="00D4245D"/>
    <w:rsid w:val="00D46AB4"/>
    <w:rsid w:val="00D46D31"/>
    <w:rsid w:val="00D4755B"/>
    <w:rsid w:val="00D502DD"/>
    <w:rsid w:val="00D518A5"/>
    <w:rsid w:val="00D51AEF"/>
    <w:rsid w:val="00D52C3D"/>
    <w:rsid w:val="00D52D8C"/>
    <w:rsid w:val="00D5347E"/>
    <w:rsid w:val="00D55499"/>
    <w:rsid w:val="00D55D16"/>
    <w:rsid w:val="00D60320"/>
    <w:rsid w:val="00D62D33"/>
    <w:rsid w:val="00D63462"/>
    <w:rsid w:val="00D67AE6"/>
    <w:rsid w:val="00D67DBC"/>
    <w:rsid w:val="00D70430"/>
    <w:rsid w:val="00D716F5"/>
    <w:rsid w:val="00D71FB0"/>
    <w:rsid w:val="00D72A9F"/>
    <w:rsid w:val="00D779CE"/>
    <w:rsid w:val="00D77BA2"/>
    <w:rsid w:val="00D82E2F"/>
    <w:rsid w:val="00D8512D"/>
    <w:rsid w:val="00D8514D"/>
    <w:rsid w:val="00D87D04"/>
    <w:rsid w:val="00D90B0D"/>
    <w:rsid w:val="00D90F38"/>
    <w:rsid w:val="00D910CA"/>
    <w:rsid w:val="00D91DA8"/>
    <w:rsid w:val="00D940A2"/>
    <w:rsid w:val="00D94F9F"/>
    <w:rsid w:val="00D95F3D"/>
    <w:rsid w:val="00D96952"/>
    <w:rsid w:val="00D97B21"/>
    <w:rsid w:val="00DA0F14"/>
    <w:rsid w:val="00DA3132"/>
    <w:rsid w:val="00DA3484"/>
    <w:rsid w:val="00DA568C"/>
    <w:rsid w:val="00DA6281"/>
    <w:rsid w:val="00DA6DA7"/>
    <w:rsid w:val="00DA764E"/>
    <w:rsid w:val="00DA7CFE"/>
    <w:rsid w:val="00DA7FBE"/>
    <w:rsid w:val="00DB4904"/>
    <w:rsid w:val="00DB520A"/>
    <w:rsid w:val="00DB5681"/>
    <w:rsid w:val="00DB5C4C"/>
    <w:rsid w:val="00DB6207"/>
    <w:rsid w:val="00DB6C82"/>
    <w:rsid w:val="00DC06C0"/>
    <w:rsid w:val="00DC3140"/>
    <w:rsid w:val="00DC3F0B"/>
    <w:rsid w:val="00DC4A20"/>
    <w:rsid w:val="00DD1035"/>
    <w:rsid w:val="00DD36B1"/>
    <w:rsid w:val="00DD4F38"/>
    <w:rsid w:val="00DD55C0"/>
    <w:rsid w:val="00DD6653"/>
    <w:rsid w:val="00DD785D"/>
    <w:rsid w:val="00DE02A2"/>
    <w:rsid w:val="00DE06BA"/>
    <w:rsid w:val="00DE075A"/>
    <w:rsid w:val="00DE1260"/>
    <w:rsid w:val="00DE1E4A"/>
    <w:rsid w:val="00DE28E3"/>
    <w:rsid w:val="00DE4E2D"/>
    <w:rsid w:val="00DE66E2"/>
    <w:rsid w:val="00DE6742"/>
    <w:rsid w:val="00DE67A6"/>
    <w:rsid w:val="00DE6E11"/>
    <w:rsid w:val="00DE78E3"/>
    <w:rsid w:val="00DF0E9C"/>
    <w:rsid w:val="00DF2204"/>
    <w:rsid w:val="00DF297F"/>
    <w:rsid w:val="00DF2FA5"/>
    <w:rsid w:val="00DF301A"/>
    <w:rsid w:val="00E0003D"/>
    <w:rsid w:val="00E0037D"/>
    <w:rsid w:val="00E01067"/>
    <w:rsid w:val="00E0178C"/>
    <w:rsid w:val="00E019EA"/>
    <w:rsid w:val="00E01D3A"/>
    <w:rsid w:val="00E02570"/>
    <w:rsid w:val="00E0426E"/>
    <w:rsid w:val="00E06BD0"/>
    <w:rsid w:val="00E135BE"/>
    <w:rsid w:val="00E155CB"/>
    <w:rsid w:val="00E16C02"/>
    <w:rsid w:val="00E17216"/>
    <w:rsid w:val="00E17EAF"/>
    <w:rsid w:val="00E2025B"/>
    <w:rsid w:val="00E208D3"/>
    <w:rsid w:val="00E215BB"/>
    <w:rsid w:val="00E21F79"/>
    <w:rsid w:val="00E241E7"/>
    <w:rsid w:val="00E25579"/>
    <w:rsid w:val="00E31377"/>
    <w:rsid w:val="00E34DF7"/>
    <w:rsid w:val="00E373D0"/>
    <w:rsid w:val="00E37D77"/>
    <w:rsid w:val="00E42103"/>
    <w:rsid w:val="00E42932"/>
    <w:rsid w:val="00E445AE"/>
    <w:rsid w:val="00E47827"/>
    <w:rsid w:val="00E503C5"/>
    <w:rsid w:val="00E509A2"/>
    <w:rsid w:val="00E51C2C"/>
    <w:rsid w:val="00E51D19"/>
    <w:rsid w:val="00E532BA"/>
    <w:rsid w:val="00E5376B"/>
    <w:rsid w:val="00E53ED7"/>
    <w:rsid w:val="00E5513C"/>
    <w:rsid w:val="00E57F46"/>
    <w:rsid w:val="00E62764"/>
    <w:rsid w:val="00E63986"/>
    <w:rsid w:val="00E66D03"/>
    <w:rsid w:val="00E6742E"/>
    <w:rsid w:val="00E702C7"/>
    <w:rsid w:val="00E70DAF"/>
    <w:rsid w:val="00E72587"/>
    <w:rsid w:val="00E72941"/>
    <w:rsid w:val="00E72CBB"/>
    <w:rsid w:val="00E753AC"/>
    <w:rsid w:val="00E757B7"/>
    <w:rsid w:val="00E75FB4"/>
    <w:rsid w:val="00E76A96"/>
    <w:rsid w:val="00E7731D"/>
    <w:rsid w:val="00E80A9B"/>
    <w:rsid w:val="00E80AF8"/>
    <w:rsid w:val="00E81361"/>
    <w:rsid w:val="00E834E3"/>
    <w:rsid w:val="00E83FE4"/>
    <w:rsid w:val="00E846C7"/>
    <w:rsid w:val="00E84B1F"/>
    <w:rsid w:val="00E850E6"/>
    <w:rsid w:val="00E87545"/>
    <w:rsid w:val="00E901DD"/>
    <w:rsid w:val="00E90C77"/>
    <w:rsid w:val="00E91B08"/>
    <w:rsid w:val="00E94DD6"/>
    <w:rsid w:val="00E9552E"/>
    <w:rsid w:val="00E97630"/>
    <w:rsid w:val="00E976A4"/>
    <w:rsid w:val="00EA0473"/>
    <w:rsid w:val="00EA0DD7"/>
    <w:rsid w:val="00EA133E"/>
    <w:rsid w:val="00EA1C63"/>
    <w:rsid w:val="00EA2252"/>
    <w:rsid w:val="00EA22D2"/>
    <w:rsid w:val="00EA37AB"/>
    <w:rsid w:val="00EA59A2"/>
    <w:rsid w:val="00EA5F86"/>
    <w:rsid w:val="00EA7226"/>
    <w:rsid w:val="00EA7699"/>
    <w:rsid w:val="00EB150F"/>
    <w:rsid w:val="00EB2AAA"/>
    <w:rsid w:val="00EB6224"/>
    <w:rsid w:val="00EB6E29"/>
    <w:rsid w:val="00EB7BAB"/>
    <w:rsid w:val="00EC10FF"/>
    <w:rsid w:val="00EC1568"/>
    <w:rsid w:val="00EC28A3"/>
    <w:rsid w:val="00ED12AB"/>
    <w:rsid w:val="00ED12EA"/>
    <w:rsid w:val="00ED1466"/>
    <w:rsid w:val="00ED5226"/>
    <w:rsid w:val="00ED540B"/>
    <w:rsid w:val="00ED6389"/>
    <w:rsid w:val="00ED69B0"/>
    <w:rsid w:val="00ED7794"/>
    <w:rsid w:val="00EE1A64"/>
    <w:rsid w:val="00EE1B41"/>
    <w:rsid w:val="00EE2520"/>
    <w:rsid w:val="00EE3661"/>
    <w:rsid w:val="00EE4538"/>
    <w:rsid w:val="00EE5ACF"/>
    <w:rsid w:val="00EE5EAF"/>
    <w:rsid w:val="00EE6422"/>
    <w:rsid w:val="00EE6720"/>
    <w:rsid w:val="00EF0851"/>
    <w:rsid w:val="00EF0D9A"/>
    <w:rsid w:val="00EF179D"/>
    <w:rsid w:val="00EF27C3"/>
    <w:rsid w:val="00EF28C1"/>
    <w:rsid w:val="00EF2FBF"/>
    <w:rsid w:val="00EF4253"/>
    <w:rsid w:val="00F03A8F"/>
    <w:rsid w:val="00F04D88"/>
    <w:rsid w:val="00F0541D"/>
    <w:rsid w:val="00F06293"/>
    <w:rsid w:val="00F06D60"/>
    <w:rsid w:val="00F10F12"/>
    <w:rsid w:val="00F1123D"/>
    <w:rsid w:val="00F11544"/>
    <w:rsid w:val="00F11859"/>
    <w:rsid w:val="00F129DF"/>
    <w:rsid w:val="00F14DFE"/>
    <w:rsid w:val="00F1666B"/>
    <w:rsid w:val="00F178C9"/>
    <w:rsid w:val="00F203AA"/>
    <w:rsid w:val="00F210D4"/>
    <w:rsid w:val="00F2147A"/>
    <w:rsid w:val="00F2267C"/>
    <w:rsid w:val="00F22AE6"/>
    <w:rsid w:val="00F236DE"/>
    <w:rsid w:val="00F24913"/>
    <w:rsid w:val="00F25094"/>
    <w:rsid w:val="00F25114"/>
    <w:rsid w:val="00F25255"/>
    <w:rsid w:val="00F266C8"/>
    <w:rsid w:val="00F31343"/>
    <w:rsid w:val="00F31672"/>
    <w:rsid w:val="00F318CD"/>
    <w:rsid w:val="00F319BC"/>
    <w:rsid w:val="00F31D5D"/>
    <w:rsid w:val="00F32EFB"/>
    <w:rsid w:val="00F330A5"/>
    <w:rsid w:val="00F35436"/>
    <w:rsid w:val="00F354F2"/>
    <w:rsid w:val="00F35F9D"/>
    <w:rsid w:val="00F3626D"/>
    <w:rsid w:val="00F410CA"/>
    <w:rsid w:val="00F41657"/>
    <w:rsid w:val="00F41C0F"/>
    <w:rsid w:val="00F4208F"/>
    <w:rsid w:val="00F420C9"/>
    <w:rsid w:val="00F42FE7"/>
    <w:rsid w:val="00F43525"/>
    <w:rsid w:val="00F43B85"/>
    <w:rsid w:val="00F451AB"/>
    <w:rsid w:val="00F46C0E"/>
    <w:rsid w:val="00F46F2A"/>
    <w:rsid w:val="00F47D58"/>
    <w:rsid w:val="00F5019A"/>
    <w:rsid w:val="00F50770"/>
    <w:rsid w:val="00F50C56"/>
    <w:rsid w:val="00F51886"/>
    <w:rsid w:val="00F52EC5"/>
    <w:rsid w:val="00F533F6"/>
    <w:rsid w:val="00F535A9"/>
    <w:rsid w:val="00F53734"/>
    <w:rsid w:val="00F5481B"/>
    <w:rsid w:val="00F5516B"/>
    <w:rsid w:val="00F56498"/>
    <w:rsid w:val="00F60736"/>
    <w:rsid w:val="00F617FD"/>
    <w:rsid w:val="00F64F45"/>
    <w:rsid w:val="00F655D6"/>
    <w:rsid w:val="00F66EAD"/>
    <w:rsid w:val="00F6743D"/>
    <w:rsid w:val="00F679D5"/>
    <w:rsid w:val="00F701C2"/>
    <w:rsid w:val="00F7096D"/>
    <w:rsid w:val="00F7145D"/>
    <w:rsid w:val="00F71A37"/>
    <w:rsid w:val="00F72FC9"/>
    <w:rsid w:val="00F73DFD"/>
    <w:rsid w:val="00F743F6"/>
    <w:rsid w:val="00F7477E"/>
    <w:rsid w:val="00F752CA"/>
    <w:rsid w:val="00F815CC"/>
    <w:rsid w:val="00F81FA5"/>
    <w:rsid w:val="00F826C0"/>
    <w:rsid w:val="00F838E1"/>
    <w:rsid w:val="00F8413A"/>
    <w:rsid w:val="00F8695D"/>
    <w:rsid w:val="00F86B4E"/>
    <w:rsid w:val="00F87804"/>
    <w:rsid w:val="00F941E0"/>
    <w:rsid w:val="00F9532E"/>
    <w:rsid w:val="00F96116"/>
    <w:rsid w:val="00F96FBF"/>
    <w:rsid w:val="00F97677"/>
    <w:rsid w:val="00FA1FCD"/>
    <w:rsid w:val="00FA2D14"/>
    <w:rsid w:val="00FA3867"/>
    <w:rsid w:val="00FA502C"/>
    <w:rsid w:val="00FA594E"/>
    <w:rsid w:val="00FA636B"/>
    <w:rsid w:val="00FA6D8E"/>
    <w:rsid w:val="00FA710D"/>
    <w:rsid w:val="00FB0280"/>
    <w:rsid w:val="00FB0560"/>
    <w:rsid w:val="00FB28EF"/>
    <w:rsid w:val="00FB2D8D"/>
    <w:rsid w:val="00FB3263"/>
    <w:rsid w:val="00FB3777"/>
    <w:rsid w:val="00FB3831"/>
    <w:rsid w:val="00FB50F5"/>
    <w:rsid w:val="00FB74A4"/>
    <w:rsid w:val="00FB7842"/>
    <w:rsid w:val="00FC1D70"/>
    <w:rsid w:val="00FC491B"/>
    <w:rsid w:val="00FC4F90"/>
    <w:rsid w:val="00FC5913"/>
    <w:rsid w:val="00FC5E97"/>
    <w:rsid w:val="00FC7B0D"/>
    <w:rsid w:val="00FC7D15"/>
    <w:rsid w:val="00FD06D2"/>
    <w:rsid w:val="00FD093A"/>
    <w:rsid w:val="00FD1355"/>
    <w:rsid w:val="00FD37EC"/>
    <w:rsid w:val="00FD3B4B"/>
    <w:rsid w:val="00FD3D50"/>
    <w:rsid w:val="00FD41BF"/>
    <w:rsid w:val="00FD574D"/>
    <w:rsid w:val="00FD6ADB"/>
    <w:rsid w:val="00FE218B"/>
    <w:rsid w:val="00FE44DC"/>
    <w:rsid w:val="00FE5BCB"/>
    <w:rsid w:val="00FF0A66"/>
    <w:rsid w:val="00FF131A"/>
    <w:rsid w:val="00FF15A6"/>
    <w:rsid w:val="00FF3237"/>
    <w:rsid w:val="00FF3F0A"/>
    <w:rsid w:val="00FF4298"/>
    <w:rsid w:val="00FF4F66"/>
    <w:rsid w:val="00FF7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3C3C3B" w:themeColor="text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semiHidden="0" w:uiPriority="39" w:unhideWhenUsed="0"/>
    <w:lsdException w:name="footnote text" w:uiPriority="0"/>
    <w:lsdException w:name="caption" w:uiPriority="0" w:qFormat="1"/>
    <w:lsdException w:name="footnote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latentStyles>
  <w:style w:type="paragraph" w:default="1" w:styleId="Normal">
    <w:name w:val="Normal"/>
    <w:aliases w:val="~BodyText"/>
    <w:qFormat/>
    <w:rsid w:val="005C1BA8"/>
    <w:pPr>
      <w:spacing w:before="120" w:after="0" w:line="288" w:lineRule="auto"/>
    </w:pPr>
  </w:style>
  <w:style w:type="paragraph" w:styleId="Heading1">
    <w:name w:val="heading 1"/>
    <w:aliases w:val="~SectionHeading"/>
    <w:basedOn w:val="SecHeadNonToc"/>
    <w:next w:val="Normal"/>
    <w:link w:val="Heading1Char"/>
    <w:uiPriority w:val="9"/>
    <w:qFormat/>
    <w:rsid w:val="00606763"/>
    <w:pPr>
      <w:numPr>
        <w:numId w:val="18"/>
      </w:numPr>
      <w:spacing w:before="240"/>
      <w:outlineLvl w:val="0"/>
    </w:pPr>
    <w:rPr>
      <w:rFonts w:ascii="Arial" w:hAnsi="Arial" w:cs="Arial"/>
      <w:color w:val="005172"/>
    </w:rPr>
  </w:style>
  <w:style w:type="paragraph" w:styleId="Heading2">
    <w:name w:val="heading 2"/>
    <w:aliases w:val="~SubHeading"/>
    <w:basedOn w:val="Heading1"/>
    <w:next w:val="Normal"/>
    <w:link w:val="Heading2Char"/>
    <w:uiPriority w:val="9"/>
    <w:qFormat/>
    <w:rsid w:val="00606763"/>
    <w:pPr>
      <w:numPr>
        <w:ilvl w:val="1"/>
      </w:numPr>
      <w:outlineLvl w:val="1"/>
    </w:pPr>
    <w:rPr>
      <w:color w:val="5E9CAE"/>
      <w:sz w:val="32"/>
    </w:rPr>
  </w:style>
  <w:style w:type="paragraph" w:styleId="Heading3">
    <w:name w:val="heading 3"/>
    <w:aliases w:val="~MinorSubHeading"/>
    <w:basedOn w:val="Heading2"/>
    <w:next w:val="Normal"/>
    <w:link w:val="Heading3Char"/>
    <w:uiPriority w:val="9"/>
    <w:qFormat/>
    <w:rsid w:val="00606763"/>
    <w:pPr>
      <w:numPr>
        <w:ilvl w:val="2"/>
      </w:numPr>
      <w:outlineLvl w:val="2"/>
    </w:pPr>
    <w:rPr>
      <w:sz w:val="26"/>
    </w:rPr>
  </w:style>
  <w:style w:type="paragraph" w:styleId="Heading4">
    <w:name w:val="heading 4"/>
    <w:aliases w:val="~Level4Heading"/>
    <w:basedOn w:val="Heading3"/>
    <w:next w:val="Normal"/>
    <w:link w:val="Heading4Char"/>
    <w:uiPriority w:val="9"/>
    <w:semiHidden/>
    <w:qFormat/>
    <w:rsid w:val="00761467"/>
    <w:pPr>
      <w:numPr>
        <w:ilvl w:val="0"/>
        <w:numId w:val="0"/>
      </w:numPr>
      <w:outlineLvl w:val="3"/>
    </w:pPr>
    <w:rPr>
      <w:color w:val="005172"/>
      <w:sz w:val="24"/>
    </w:rPr>
  </w:style>
  <w:style w:type="paragraph" w:styleId="Heading5">
    <w:name w:val="heading 5"/>
    <w:basedOn w:val="Normal"/>
    <w:next w:val="Normal"/>
    <w:link w:val="Heading5Char"/>
    <w:uiPriority w:val="9"/>
    <w:semiHidden/>
    <w:qFormat/>
    <w:rsid w:val="00761467"/>
    <w:pPr>
      <w:keepNext/>
      <w:keepLines/>
      <w:spacing w:before="200"/>
      <w:outlineLvl w:val="4"/>
    </w:pPr>
    <w:rPr>
      <w:rFonts w:asciiTheme="majorHAnsi" w:eastAsiaTheme="majorEastAsia" w:hAnsiTheme="majorHAnsi" w:cstheme="majorBidi"/>
      <w:color w:val="auto"/>
    </w:rPr>
  </w:style>
  <w:style w:type="paragraph" w:styleId="Heading6">
    <w:name w:val="heading 6"/>
    <w:basedOn w:val="Normal"/>
    <w:next w:val="Normal"/>
    <w:link w:val="Heading6Char"/>
    <w:uiPriority w:val="9"/>
    <w:semiHidden/>
    <w:qFormat/>
    <w:rsid w:val="00761467"/>
    <w:pPr>
      <w:keepNext/>
      <w:keepLines/>
      <w:spacing w:before="200"/>
      <w:outlineLvl w:val="5"/>
    </w:pPr>
    <w:rPr>
      <w:rFonts w:asciiTheme="majorHAnsi" w:eastAsiaTheme="majorEastAsia" w:hAnsiTheme="majorHAnsi" w:cstheme="majorBidi"/>
      <w:i/>
      <w:iCs/>
      <w:color w:val="auto"/>
    </w:rPr>
  </w:style>
  <w:style w:type="paragraph" w:styleId="Heading7">
    <w:name w:val="heading 7"/>
    <w:basedOn w:val="Normal"/>
    <w:next w:val="Normal"/>
    <w:link w:val="Heading7Char"/>
    <w:uiPriority w:val="9"/>
    <w:semiHidden/>
    <w:qFormat/>
    <w:rsid w:val="00761467"/>
    <w:pPr>
      <w:keepNext/>
      <w:keepLines/>
      <w:spacing w:before="200"/>
      <w:outlineLvl w:val="6"/>
    </w:pPr>
    <w:rPr>
      <w:rFonts w:asciiTheme="majorHAnsi" w:eastAsiaTheme="majorEastAsia" w:hAnsiTheme="majorHAnsi" w:cstheme="majorBidi"/>
      <w:i/>
      <w:iCs/>
      <w:color w:val="6D6D6B" w:themeColor="text1" w:themeTint="BF"/>
    </w:rPr>
  </w:style>
  <w:style w:type="paragraph" w:styleId="Heading8">
    <w:name w:val="heading 8"/>
    <w:basedOn w:val="Normal"/>
    <w:next w:val="Normal"/>
    <w:link w:val="Heading8Char"/>
    <w:uiPriority w:val="9"/>
    <w:semiHidden/>
    <w:qFormat/>
    <w:rsid w:val="00761467"/>
    <w:pPr>
      <w:keepNext/>
      <w:keepLines/>
      <w:spacing w:before="200"/>
      <w:outlineLvl w:val="7"/>
    </w:pPr>
    <w:rPr>
      <w:rFonts w:asciiTheme="majorHAnsi" w:eastAsiaTheme="majorEastAsia" w:hAnsiTheme="majorHAnsi" w:cstheme="majorBidi"/>
      <w:color w:val="6D6D6B" w:themeColor="text1" w:themeTint="BF"/>
    </w:rPr>
  </w:style>
  <w:style w:type="paragraph" w:styleId="Heading9">
    <w:name w:val="heading 9"/>
    <w:basedOn w:val="Normal"/>
    <w:next w:val="Normal"/>
    <w:link w:val="Heading9Char"/>
    <w:uiPriority w:val="9"/>
    <w:semiHidden/>
    <w:qFormat/>
    <w:rsid w:val="00761467"/>
    <w:pPr>
      <w:keepNext/>
      <w:keepLines/>
      <w:spacing w:before="200"/>
      <w:outlineLvl w:val="8"/>
    </w:pPr>
    <w:rPr>
      <w:rFonts w:asciiTheme="majorHAnsi" w:eastAsiaTheme="majorEastAsia" w:hAnsiTheme="majorHAnsi" w:cstheme="majorBidi"/>
      <w:i/>
      <w:iCs/>
      <w:color w:val="6D6D6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aseStyle"/>
    <w:uiPriority w:val="1"/>
    <w:rsid w:val="000D4D4E"/>
    <w:pPr>
      <w:spacing w:after="0" w:line="240" w:lineRule="auto"/>
    </w:pPr>
  </w:style>
  <w:style w:type="paragraph" w:customStyle="1" w:styleId="DocNumber">
    <w:name w:val="~DocNumber"/>
    <w:basedOn w:val="NoSpacing"/>
    <w:rsid w:val="00D417B7"/>
    <w:pPr>
      <w:spacing w:before="120" w:line="264" w:lineRule="auto"/>
    </w:pPr>
  </w:style>
  <w:style w:type="paragraph" w:customStyle="1" w:styleId="DocTitle">
    <w:name w:val="~DocTitle"/>
    <w:basedOn w:val="Normal"/>
    <w:next w:val="Normal"/>
    <w:rsid w:val="00662260"/>
    <w:pPr>
      <w:spacing w:before="0" w:after="240" w:line="216" w:lineRule="auto"/>
    </w:pPr>
    <w:rPr>
      <w:color w:val="005172" w:themeColor="accent2"/>
      <w:sz w:val="52"/>
    </w:rPr>
  </w:style>
  <w:style w:type="paragraph" w:customStyle="1" w:styleId="DocSubTitle">
    <w:name w:val="~DocSubTitle"/>
    <w:basedOn w:val="NoSpacing"/>
    <w:next w:val="Normal"/>
    <w:rsid w:val="00662260"/>
    <w:pPr>
      <w:spacing w:after="240"/>
    </w:pPr>
    <w:rPr>
      <w:color w:val="5E9CAE" w:themeColor="accent1"/>
      <w:sz w:val="36"/>
    </w:rPr>
  </w:style>
  <w:style w:type="paragraph" w:customStyle="1" w:styleId="DocClient">
    <w:name w:val="~DocClient"/>
    <w:basedOn w:val="DocTitle"/>
    <w:semiHidden/>
    <w:rsid w:val="002551D9"/>
  </w:style>
  <w:style w:type="paragraph" w:customStyle="1" w:styleId="Confidential">
    <w:name w:val="~Confidential"/>
    <w:basedOn w:val="NoSpacing"/>
    <w:rsid w:val="00C66EC4"/>
  </w:style>
  <w:style w:type="paragraph" w:customStyle="1" w:styleId="Draft">
    <w:name w:val="~Draft"/>
    <w:basedOn w:val="NoSpacing"/>
    <w:rsid w:val="00377820"/>
    <w:rPr>
      <w:b/>
      <w:caps/>
      <w:color w:val="E4E4E4" w:themeColor="background2"/>
      <w:sz w:val="36"/>
    </w:rPr>
  </w:style>
  <w:style w:type="paragraph" w:customStyle="1" w:styleId="SecHeadNonToc">
    <w:name w:val="~SecHeadNonToc"/>
    <w:basedOn w:val="NoSpacing"/>
    <w:next w:val="Normal"/>
    <w:qFormat/>
    <w:rsid w:val="00233074"/>
    <w:pPr>
      <w:keepNext/>
      <w:spacing w:after="240"/>
    </w:pPr>
    <w:rPr>
      <w:rFonts w:asciiTheme="majorHAnsi" w:hAnsiTheme="majorHAnsi"/>
      <w:color w:val="005172" w:themeColor="accent2"/>
      <w:sz w:val="40"/>
    </w:rPr>
  </w:style>
  <w:style w:type="paragraph" w:customStyle="1" w:styleId="AppendixDivider">
    <w:name w:val="~AppendixDivider"/>
    <w:basedOn w:val="SecHeadNonToc"/>
    <w:next w:val="Normal"/>
    <w:rsid w:val="00E37D77"/>
    <w:pPr>
      <w:outlineLvl w:val="0"/>
    </w:pPr>
  </w:style>
  <w:style w:type="paragraph" w:customStyle="1" w:styleId="AppHead">
    <w:name w:val="~AppHead"/>
    <w:basedOn w:val="AppendixDivider"/>
    <w:next w:val="Normal"/>
    <w:qFormat/>
    <w:rsid w:val="00606763"/>
    <w:pPr>
      <w:numPr>
        <w:numId w:val="19"/>
      </w:numPr>
      <w:spacing w:before="240"/>
    </w:pPr>
    <w:rPr>
      <w:rFonts w:ascii="Arial" w:hAnsi="Arial" w:cs="Arial"/>
      <w:color w:val="5E9CAE"/>
      <w:szCs w:val="40"/>
    </w:rPr>
  </w:style>
  <w:style w:type="paragraph" w:customStyle="1" w:styleId="AppSubHead">
    <w:name w:val="~AppSubHead"/>
    <w:basedOn w:val="AppHead"/>
    <w:next w:val="Normal"/>
    <w:qFormat/>
    <w:rsid w:val="00606763"/>
    <w:pPr>
      <w:numPr>
        <w:ilvl w:val="1"/>
      </w:numPr>
    </w:pPr>
    <w:rPr>
      <w:sz w:val="32"/>
      <w:szCs w:val="32"/>
    </w:rPr>
  </w:style>
  <w:style w:type="paragraph" w:customStyle="1" w:styleId="AppMinorSubHead">
    <w:name w:val="~AppMinorSubHead"/>
    <w:basedOn w:val="AppSubHead"/>
    <w:next w:val="Normal"/>
    <w:qFormat/>
    <w:rsid w:val="00606763"/>
    <w:pPr>
      <w:numPr>
        <w:ilvl w:val="2"/>
      </w:numPr>
    </w:pPr>
    <w:rPr>
      <w:sz w:val="26"/>
    </w:rPr>
  </w:style>
  <w:style w:type="paragraph" w:customStyle="1" w:styleId="BodyHeading">
    <w:name w:val="~BodyHeading"/>
    <w:basedOn w:val="Normal"/>
    <w:next w:val="Normal"/>
    <w:qFormat/>
    <w:rsid w:val="003F6EED"/>
    <w:pPr>
      <w:keepNext/>
    </w:pPr>
    <w:rPr>
      <w:b/>
      <w:color w:val="005172" w:themeColor="accent2"/>
    </w:rPr>
  </w:style>
  <w:style w:type="paragraph" w:customStyle="1" w:styleId="Bullet1">
    <w:name w:val="~Bullet1"/>
    <w:basedOn w:val="Normal"/>
    <w:qFormat/>
    <w:rsid w:val="007F2DA7"/>
    <w:pPr>
      <w:numPr>
        <w:numId w:val="1"/>
      </w:numPr>
      <w:spacing w:before="60" w:after="60"/>
    </w:pPr>
    <w:rPr>
      <w:rFonts w:eastAsia="Calibri" w:cs="Arial"/>
    </w:rPr>
  </w:style>
  <w:style w:type="paragraph" w:customStyle="1" w:styleId="Bullet2">
    <w:name w:val="~Bullet2"/>
    <w:basedOn w:val="Bullet1"/>
    <w:qFormat/>
    <w:rsid w:val="0044047A"/>
    <w:pPr>
      <w:numPr>
        <w:ilvl w:val="1"/>
      </w:numPr>
    </w:pPr>
  </w:style>
  <w:style w:type="paragraph" w:customStyle="1" w:styleId="Bullet3">
    <w:name w:val="~Bullet3"/>
    <w:basedOn w:val="Bullet2"/>
    <w:rsid w:val="0044047A"/>
    <w:pPr>
      <w:numPr>
        <w:ilvl w:val="2"/>
      </w:numPr>
    </w:pPr>
  </w:style>
  <w:style w:type="paragraph" w:styleId="Caption">
    <w:name w:val="caption"/>
    <w:aliases w:val="~Caption"/>
    <w:basedOn w:val="BodyHeading"/>
    <w:next w:val="Normal"/>
    <w:link w:val="CaptionChar"/>
    <w:qFormat/>
    <w:rsid w:val="00F6743D"/>
    <w:pPr>
      <w:spacing w:after="60" w:line="240" w:lineRule="auto"/>
    </w:pPr>
    <w:rPr>
      <w:rFonts w:eastAsia="Calibri" w:cs="Arial"/>
      <w:b w:val="0"/>
      <w:color w:val="5E9CAE" w:themeColor="accent1"/>
    </w:rPr>
  </w:style>
  <w:style w:type="paragraph" w:customStyle="1" w:styleId="CaptionWide">
    <w:name w:val="~CaptionWide"/>
    <w:basedOn w:val="Caption"/>
    <w:next w:val="Normal"/>
    <w:semiHidden/>
    <w:qFormat/>
    <w:rsid w:val="00F6743D"/>
    <w:pPr>
      <w:ind w:left="-1985"/>
    </w:pPr>
    <w:rPr>
      <w:bCs/>
    </w:rPr>
  </w:style>
  <w:style w:type="paragraph" w:customStyle="1" w:styleId="ExecSumHead">
    <w:name w:val="~ExecSumHead"/>
    <w:basedOn w:val="SecHeadNonToc"/>
    <w:next w:val="Normal"/>
    <w:rsid w:val="00C878AD"/>
    <w:pPr>
      <w:outlineLvl w:val="0"/>
    </w:pPr>
  </w:style>
  <w:style w:type="paragraph" w:customStyle="1" w:styleId="ExecSumSubHead">
    <w:name w:val="~ExecSumSubHead"/>
    <w:basedOn w:val="ExecSumHead"/>
    <w:next w:val="Normal"/>
    <w:rsid w:val="002867BE"/>
    <w:pPr>
      <w:spacing w:before="240"/>
      <w:outlineLvl w:val="1"/>
    </w:pPr>
    <w:rPr>
      <w:color w:val="5E9CAE" w:themeColor="accent1"/>
      <w:sz w:val="32"/>
    </w:rPr>
  </w:style>
  <w:style w:type="paragraph" w:customStyle="1" w:styleId="GraphicLeft">
    <w:name w:val="~GraphicLeft"/>
    <w:basedOn w:val="NoSpacing"/>
    <w:rsid w:val="00B470A3"/>
  </w:style>
  <w:style w:type="paragraph" w:customStyle="1" w:styleId="GraphicCentre">
    <w:name w:val="~GraphicCentre"/>
    <w:basedOn w:val="GraphicLeft"/>
    <w:rsid w:val="0044047A"/>
    <w:pPr>
      <w:jc w:val="center"/>
    </w:pPr>
  </w:style>
  <w:style w:type="paragraph" w:customStyle="1" w:styleId="GraphicRight">
    <w:name w:val="~GraphicRight"/>
    <w:basedOn w:val="GraphicLeft"/>
    <w:rsid w:val="0044047A"/>
    <w:pPr>
      <w:jc w:val="right"/>
    </w:pPr>
  </w:style>
  <w:style w:type="paragraph" w:customStyle="1" w:styleId="IntroText">
    <w:name w:val="~IntroText"/>
    <w:basedOn w:val="Normal"/>
    <w:next w:val="Normal"/>
    <w:qFormat/>
    <w:rsid w:val="008E65E7"/>
    <w:rPr>
      <w:color w:val="5E9CAE" w:themeColor="accent1"/>
      <w:sz w:val="24"/>
    </w:rPr>
  </w:style>
  <w:style w:type="paragraph" w:customStyle="1" w:styleId="NumBullet1">
    <w:name w:val="~NumBullet1"/>
    <w:basedOn w:val="Bullet1"/>
    <w:qFormat/>
    <w:rsid w:val="0044047A"/>
    <w:pPr>
      <w:numPr>
        <w:numId w:val="2"/>
      </w:numPr>
    </w:pPr>
  </w:style>
  <w:style w:type="paragraph" w:customStyle="1" w:styleId="NumBullet2">
    <w:name w:val="~NumBullet2"/>
    <w:basedOn w:val="NumBullet1"/>
    <w:qFormat/>
    <w:rsid w:val="0044047A"/>
    <w:pPr>
      <w:numPr>
        <w:ilvl w:val="1"/>
      </w:numPr>
    </w:pPr>
  </w:style>
  <w:style w:type="paragraph" w:customStyle="1" w:styleId="NumBullet3">
    <w:name w:val="~NumBullet3"/>
    <w:basedOn w:val="NumBullet2"/>
    <w:rsid w:val="0044047A"/>
    <w:pPr>
      <w:numPr>
        <w:ilvl w:val="2"/>
      </w:numPr>
    </w:pPr>
  </w:style>
  <w:style w:type="paragraph" w:customStyle="1" w:styleId="Source">
    <w:name w:val="~Source"/>
    <w:basedOn w:val="Normal"/>
    <w:next w:val="Normal"/>
    <w:qFormat/>
    <w:rsid w:val="00C46917"/>
    <w:pPr>
      <w:spacing w:before="60" w:after="120"/>
      <w:ind w:left="851" w:hanging="851"/>
    </w:pPr>
    <w:rPr>
      <w:rFonts w:eastAsia="Calibri" w:cs="Arial"/>
      <w:i/>
      <w:color w:val="9D9D9C" w:themeColor="text2"/>
      <w:sz w:val="18"/>
    </w:rPr>
  </w:style>
  <w:style w:type="paragraph" w:customStyle="1" w:styleId="SourceWide">
    <w:name w:val="~SourceWide"/>
    <w:basedOn w:val="Source"/>
    <w:next w:val="Normal"/>
    <w:rsid w:val="00822A0C"/>
    <w:pPr>
      <w:ind w:left="-1134"/>
    </w:pPr>
  </w:style>
  <w:style w:type="paragraph" w:customStyle="1" w:styleId="Spacer">
    <w:name w:val="~Spacer"/>
    <w:basedOn w:val="NoSpacing"/>
    <w:qFormat/>
    <w:rsid w:val="00DD1035"/>
    <w:rPr>
      <w:color w:val="FFFFFF" w:themeColor="background1"/>
      <w:sz w:val="2"/>
    </w:rPr>
  </w:style>
  <w:style w:type="paragraph" w:customStyle="1" w:styleId="TableTextLeft">
    <w:name w:val="~TableTextLeft"/>
    <w:basedOn w:val="Normal"/>
    <w:qFormat/>
    <w:rsid w:val="000171CC"/>
    <w:pPr>
      <w:spacing w:before="40" w:after="20"/>
    </w:pPr>
  </w:style>
  <w:style w:type="paragraph" w:customStyle="1" w:styleId="TableBullet1">
    <w:name w:val="~TableBullet1"/>
    <w:basedOn w:val="TableTextLeft"/>
    <w:qFormat/>
    <w:rsid w:val="0044047A"/>
    <w:pPr>
      <w:numPr>
        <w:numId w:val="3"/>
      </w:numPr>
    </w:pPr>
    <w:rPr>
      <w:rFonts w:eastAsia="Calibri" w:cs="Arial"/>
    </w:rPr>
  </w:style>
  <w:style w:type="paragraph" w:customStyle="1" w:styleId="TableHeadingLeft">
    <w:name w:val="~TableHeadingLeft"/>
    <w:basedOn w:val="TableTextLeft"/>
    <w:qFormat/>
    <w:rsid w:val="008D0B78"/>
    <w:pPr>
      <w:keepNext/>
    </w:pPr>
    <w:rPr>
      <w:b/>
      <w:color w:val="FFFFFF" w:themeColor="background1"/>
      <w:szCs w:val="26"/>
    </w:rPr>
  </w:style>
  <w:style w:type="paragraph" w:customStyle="1" w:styleId="TableHeadingCentre">
    <w:name w:val="~TableHeadingCentre"/>
    <w:basedOn w:val="TableHeadingLeft"/>
    <w:rsid w:val="0044047A"/>
    <w:pPr>
      <w:jc w:val="center"/>
    </w:pPr>
  </w:style>
  <w:style w:type="paragraph" w:customStyle="1" w:styleId="TableHeadingRight">
    <w:name w:val="~TableHeadingRight"/>
    <w:basedOn w:val="TableHeadingLeft"/>
    <w:rsid w:val="0044047A"/>
    <w:pPr>
      <w:jc w:val="right"/>
    </w:pPr>
  </w:style>
  <w:style w:type="paragraph" w:customStyle="1" w:styleId="DocPermissions">
    <w:name w:val="~DocPermissions"/>
    <w:basedOn w:val="Normal"/>
    <w:semiHidden/>
    <w:rsid w:val="004E31BF"/>
  </w:style>
  <w:style w:type="paragraph" w:customStyle="1" w:styleId="TableTextCentre">
    <w:name w:val="~TableTextCentre"/>
    <w:basedOn w:val="TableTextLeft"/>
    <w:rsid w:val="0044047A"/>
    <w:pPr>
      <w:jc w:val="center"/>
    </w:pPr>
  </w:style>
  <w:style w:type="paragraph" w:customStyle="1" w:styleId="TableTextRight">
    <w:name w:val="~TableTextRight"/>
    <w:basedOn w:val="TableTextLeft"/>
    <w:rsid w:val="0044047A"/>
    <w:pPr>
      <w:jc w:val="right"/>
    </w:pPr>
  </w:style>
  <w:style w:type="paragraph" w:customStyle="1" w:styleId="TableTotalLeft">
    <w:name w:val="~TableTotalLeft"/>
    <w:basedOn w:val="TableTextLeft"/>
    <w:rsid w:val="0044047A"/>
    <w:rPr>
      <w:b/>
    </w:rPr>
  </w:style>
  <w:style w:type="paragraph" w:customStyle="1" w:styleId="TableTotalCentre">
    <w:name w:val="~TableTotalCentre"/>
    <w:basedOn w:val="TableTotalLeft"/>
    <w:rsid w:val="0044047A"/>
    <w:pPr>
      <w:framePr w:wrap="around" w:vAnchor="page" w:hAnchor="margin" w:y="1135"/>
      <w:suppressOverlap/>
      <w:jc w:val="center"/>
    </w:pPr>
  </w:style>
  <w:style w:type="paragraph" w:customStyle="1" w:styleId="TableTotalRight">
    <w:name w:val="~TableTotalRight"/>
    <w:basedOn w:val="TableTotalLeft"/>
    <w:rsid w:val="0044047A"/>
    <w:pPr>
      <w:framePr w:wrap="around" w:vAnchor="page" w:hAnchor="margin" w:y="1135"/>
      <w:suppressOverlap/>
      <w:jc w:val="right"/>
    </w:pPr>
  </w:style>
  <w:style w:type="paragraph" w:styleId="Footer">
    <w:name w:val="footer"/>
    <w:aliases w:val="~Footer"/>
    <w:basedOn w:val="NoSpacing"/>
    <w:link w:val="FooterChar"/>
    <w:uiPriority w:val="99"/>
    <w:rsid w:val="007B5D98"/>
    <w:rPr>
      <w:color w:val="727272" w:themeColor="background2" w:themeShade="80"/>
      <w:sz w:val="14"/>
    </w:rPr>
  </w:style>
  <w:style w:type="character" w:customStyle="1" w:styleId="FooterChar">
    <w:name w:val="Footer Char"/>
    <w:aliases w:val="~Footer Char"/>
    <w:basedOn w:val="DefaultParagraphFont"/>
    <w:link w:val="Footer"/>
    <w:uiPriority w:val="99"/>
    <w:rsid w:val="007B5D98"/>
    <w:rPr>
      <w:color w:val="727272" w:themeColor="background2" w:themeShade="80"/>
      <w:sz w:val="14"/>
    </w:rPr>
  </w:style>
  <w:style w:type="character" w:styleId="FootnoteReference">
    <w:name w:val="footnote reference"/>
    <w:basedOn w:val="DefaultParagraphFont"/>
    <w:rsid w:val="008E65E7"/>
    <w:rPr>
      <w:rFonts w:asciiTheme="minorHAnsi" w:hAnsiTheme="minorHAnsi"/>
      <w:color w:val="005172" w:themeColor="accent2"/>
      <w:vertAlign w:val="superscript"/>
    </w:rPr>
  </w:style>
  <w:style w:type="paragraph" w:styleId="FootnoteText">
    <w:name w:val="footnote text"/>
    <w:aliases w:val="~FootnoteText"/>
    <w:basedOn w:val="NoSpacing"/>
    <w:link w:val="FootnoteTextChar"/>
    <w:rsid w:val="000D4D4E"/>
    <w:pPr>
      <w:spacing w:before="120" w:line="264" w:lineRule="auto"/>
      <w:ind w:left="284" w:hanging="284"/>
    </w:pPr>
    <w:rPr>
      <w:sz w:val="18"/>
    </w:rPr>
  </w:style>
  <w:style w:type="character" w:customStyle="1" w:styleId="FootnoteTextChar">
    <w:name w:val="Footnote Text Char"/>
    <w:aliases w:val="~FootnoteText Char"/>
    <w:basedOn w:val="DefaultParagraphFont"/>
    <w:link w:val="FootnoteText"/>
    <w:rsid w:val="000D4D4E"/>
    <w:rPr>
      <w:rFonts w:ascii="Arial" w:hAnsi="Arial"/>
      <w:sz w:val="18"/>
      <w:szCs w:val="20"/>
    </w:rPr>
  </w:style>
  <w:style w:type="paragraph" w:styleId="Header">
    <w:name w:val="header"/>
    <w:aliases w:val="~Header"/>
    <w:basedOn w:val="NoSpacing"/>
    <w:link w:val="HeaderChar"/>
    <w:uiPriority w:val="99"/>
    <w:rsid w:val="00470772"/>
    <w:rPr>
      <w:sz w:val="16"/>
    </w:rPr>
  </w:style>
  <w:style w:type="character" w:customStyle="1" w:styleId="HeaderChar">
    <w:name w:val="Header Char"/>
    <w:aliases w:val="~Header Char"/>
    <w:basedOn w:val="DefaultParagraphFont"/>
    <w:link w:val="Header"/>
    <w:uiPriority w:val="99"/>
    <w:rsid w:val="00470772"/>
    <w:rPr>
      <w:sz w:val="16"/>
    </w:rPr>
  </w:style>
  <w:style w:type="character" w:customStyle="1" w:styleId="Heading1Char">
    <w:name w:val="Heading 1 Char"/>
    <w:aliases w:val="~SectionHeading Char"/>
    <w:basedOn w:val="DefaultParagraphFont"/>
    <w:link w:val="Heading1"/>
    <w:uiPriority w:val="9"/>
    <w:rsid w:val="00606763"/>
    <w:rPr>
      <w:rFonts w:cs="Arial"/>
      <w:color w:val="005172"/>
      <w:sz w:val="40"/>
    </w:rPr>
  </w:style>
  <w:style w:type="character" w:customStyle="1" w:styleId="Heading2Char">
    <w:name w:val="Heading 2 Char"/>
    <w:aliases w:val="~SubHeading Char"/>
    <w:basedOn w:val="DefaultParagraphFont"/>
    <w:link w:val="Heading2"/>
    <w:uiPriority w:val="9"/>
    <w:rsid w:val="00606763"/>
    <w:rPr>
      <w:rFonts w:cs="Arial"/>
      <w:color w:val="5E9CAE"/>
      <w:sz w:val="32"/>
    </w:rPr>
  </w:style>
  <w:style w:type="character" w:customStyle="1" w:styleId="Heading3Char">
    <w:name w:val="Heading 3 Char"/>
    <w:aliases w:val="~MinorSubHeading Char"/>
    <w:basedOn w:val="DefaultParagraphFont"/>
    <w:link w:val="Heading3"/>
    <w:uiPriority w:val="9"/>
    <w:rsid w:val="00606763"/>
    <w:rPr>
      <w:rFonts w:cs="Arial"/>
      <w:color w:val="5E9CAE"/>
      <w:sz w:val="26"/>
    </w:rPr>
  </w:style>
  <w:style w:type="character" w:customStyle="1" w:styleId="Heading4Char">
    <w:name w:val="Heading 4 Char"/>
    <w:aliases w:val="~Level4Heading Char"/>
    <w:basedOn w:val="DefaultParagraphFont"/>
    <w:link w:val="Heading4"/>
    <w:uiPriority w:val="9"/>
    <w:semiHidden/>
    <w:rsid w:val="00761467"/>
    <w:rPr>
      <w:rFonts w:cs="Arial"/>
      <w:color w:val="005172"/>
      <w:sz w:val="24"/>
    </w:rPr>
  </w:style>
  <w:style w:type="paragraph" w:styleId="TOC1">
    <w:name w:val="toc 1"/>
    <w:aliases w:val="~SectionHeadings"/>
    <w:basedOn w:val="NoSpacing"/>
    <w:next w:val="Normal"/>
    <w:uiPriority w:val="39"/>
    <w:rsid w:val="008F7538"/>
    <w:pPr>
      <w:tabs>
        <w:tab w:val="left" w:pos="482"/>
        <w:tab w:val="right" w:leader="underscore" w:pos="9638"/>
      </w:tabs>
      <w:spacing w:before="120"/>
      <w:ind w:left="482" w:right="403" w:hanging="482"/>
    </w:pPr>
    <w:rPr>
      <w:rFonts w:asciiTheme="majorHAnsi" w:eastAsiaTheme="minorEastAsia" w:hAnsiTheme="majorHAnsi"/>
      <w:noProof/>
      <w:color w:val="5E9CAE" w:themeColor="accent1"/>
      <w:sz w:val="24"/>
      <w:lang w:eastAsia="en-GB"/>
    </w:rPr>
  </w:style>
  <w:style w:type="paragraph" w:styleId="TOC2">
    <w:name w:val="toc 2"/>
    <w:aliases w:val="~SubHeadings"/>
    <w:basedOn w:val="TOC1"/>
    <w:next w:val="Normal"/>
    <w:uiPriority w:val="39"/>
    <w:rsid w:val="00761467"/>
    <w:pPr>
      <w:tabs>
        <w:tab w:val="clear" w:pos="482"/>
        <w:tab w:val="left" w:pos="964"/>
        <w:tab w:val="right" w:leader="dot" w:pos="9638"/>
      </w:tabs>
      <w:spacing w:before="60"/>
      <w:ind w:left="964"/>
    </w:pPr>
    <w:rPr>
      <w:rFonts w:asciiTheme="minorHAnsi" w:hAnsiTheme="minorHAnsi"/>
      <w:color w:val="3C3C3B" w:themeColor="text1"/>
      <w:sz w:val="20"/>
    </w:rPr>
  </w:style>
  <w:style w:type="paragraph" w:styleId="TOC3">
    <w:name w:val="toc 3"/>
    <w:aliases w:val="~MinorSubheadings"/>
    <w:basedOn w:val="TOC2"/>
    <w:next w:val="Normal"/>
    <w:uiPriority w:val="39"/>
    <w:rsid w:val="00761467"/>
    <w:pPr>
      <w:tabs>
        <w:tab w:val="clear" w:pos="964"/>
        <w:tab w:val="left" w:pos="1701"/>
      </w:tabs>
      <w:ind w:left="1701" w:hanging="737"/>
    </w:pPr>
    <w:rPr>
      <w:szCs w:val="22"/>
    </w:rPr>
  </w:style>
  <w:style w:type="paragraph" w:styleId="TOC4">
    <w:name w:val="toc 4"/>
    <w:aliases w:val="~FourthHeadLevel"/>
    <w:basedOn w:val="TOC3"/>
    <w:next w:val="Normal"/>
    <w:uiPriority w:val="39"/>
    <w:rsid w:val="0044047A"/>
    <w:pPr>
      <w:tabs>
        <w:tab w:val="left" w:pos="2098"/>
      </w:tabs>
      <w:ind w:left="2098" w:hanging="794"/>
    </w:pPr>
  </w:style>
  <w:style w:type="paragraph" w:styleId="TOC5">
    <w:name w:val="toc 5"/>
    <w:aliases w:val="~ExecSumHeading"/>
    <w:basedOn w:val="TOC1"/>
    <w:next w:val="Normal"/>
    <w:uiPriority w:val="39"/>
    <w:rsid w:val="0044047A"/>
  </w:style>
  <w:style w:type="paragraph" w:styleId="TOC6">
    <w:name w:val="toc 6"/>
    <w:aliases w:val="~AppDivider"/>
    <w:basedOn w:val="TOC1"/>
    <w:next w:val="Normal"/>
    <w:autoRedefine/>
    <w:uiPriority w:val="39"/>
    <w:rsid w:val="0044047A"/>
    <w:pPr>
      <w:spacing w:before="240"/>
    </w:pPr>
  </w:style>
  <w:style w:type="paragraph" w:styleId="TOC7">
    <w:name w:val="toc 7"/>
    <w:aliases w:val="~AppHeadings"/>
    <w:basedOn w:val="TOC1"/>
    <w:next w:val="Normal"/>
    <w:uiPriority w:val="39"/>
    <w:rsid w:val="00892E0E"/>
    <w:pPr>
      <w:tabs>
        <w:tab w:val="clear" w:pos="482"/>
        <w:tab w:val="left" w:pos="425"/>
        <w:tab w:val="right" w:pos="9638"/>
      </w:tabs>
      <w:ind w:left="425" w:hanging="425"/>
    </w:pPr>
    <w:rPr>
      <w:rFonts w:asciiTheme="minorHAnsi" w:hAnsiTheme="minorHAnsi"/>
    </w:rPr>
  </w:style>
  <w:style w:type="paragraph" w:styleId="TOC8">
    <w:name w:val="toc 8"/>
    <w:aliases w:val="~AppSubHeadings"/>
    <w:basedOn w:val="TOC2"/>
    <w:next w:val="Normal"/>
    <w:uiPriority w:val="39"/>
    <w:rsid w:val="0044047A"/>
    <w:pPr>
      <w:tabs>
        <w:tab w:val="clear" w:pos="964"/>
        <w:tab w:val="left" w:pos="850"/>
        <w:tab w:val="right" w:pos="9638"/>
      </w:tabs>
      <w:ind w:left="850" w:hanging="425"/>
    </w:pPr>
  </w:style>
  <w:style w:type="character" w:customStyle="1" w:styleId="CaptionChar">
    <w:name w:val="Caption Char"/>
    <w:aliases w:val="~Caption Char"/>
    <w:basedOn w:val="DefaultParagraphFont"/>
    <w:link w:val="Caption"/>
    <w:rsid w:val="00F6743D"/>
    <w:rPr>
      <w:rFonts w:eastAsia="Calibri" w:cs="Arial"/>
      <w:color w:val="5E9CAE" w:themeColor="accent1"/>
    </w:rPr>
  </w:style>
  <w:style w:type="paragraph" w:styleId="ListParagraph">
    <w:name w:val="List Paragraph"/>
    <w:basedOn w:val="Normal"/>
    <w:uiPriority w:val="34"/>
    <w:qFormat/>
    <w:rsid w:val="00F25255"/>
    <w:pPr>
      <w:ind w:left="720"/>
      <w:contextualSpacing/>
    </w:pPr>
  </w:style>
  <w:style w:type="paragraph" w:styleId="BalloonText">
    <w:name w:val="Balloon Text"/>
    <w:basedOn w:val="Normal"/>
    <w:link w:val="BalloonTextChar"/>
    <w:uiPriority w:val="99"/>
    <w:semiHidden/>
    <w:unhideWhenUsed/>
    <w:rsid w:val="00B362B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2BA"/>
    <w:rPr>
      <w:rFonts w:ascii="Tahoma" w:hAnsi="Tahoma" w:cs="Tahoma"/>
      <w:sz w:val="16"/>
      <w:szCs w:val="16"/>
    </w:rPr>
  </w:style>
  <w:style w:type="paragraph" w:customStyle="1" w:styleId="KeyMsgBoxText">
    <w:name w:val="~KeyMsgBoxText"/>
    <w:basedOn w:val="Normal"/>
    <w:qFormat/>
    <w:rsid w:val="00160B28"/>
    <w:pPr>
      <w:spacing w:after="60"/>
    </w:pPr>
    <w:rPr>
      <w:color w:val="005172" w:themeColor="accent2"/>
    </w:rPr>
  </w:style>
  <w:style w:type="paragraph" w:customStyle="1" w:styleId="KeyMsgBoxHead">
    <w:name w:val="~KeyMsgBoxHead"/>
    <w:basedOn w:val="KeyMsgBoxText"/>
    <w:qFormat/>
    <w:rsid w:val="00160B28"/>
    <w:pPr>
      <w:keepNext/>
      <w:spacing w:line="240" w:lineRule="auto"/>
    </w:pPr>
    <w:rPr>
      <w:b/>
    </w:rPr>
  </w:style>
  <w:style w:type="paragraph" w:customStyle="1" w:styleId="Quote">
    <w:name w:val="~Quote"/>
    <w:basedOn w:val="Normal"/>
    <w:next w:val="Normal"/>
    <w:qFormat/>
    <w:rsid w:val="008E65E7"/>
    <w:pPr>
      <w:spacing w:before="240" w:line="276" w:lineRule="auto"/>
    </w:pPr>
    <w:rPr>
      <w:rFonts w:eastAsia="Arial" w:cs="Times New Roman"/>
      <w:color w:val="5E9CAE" w:themeColor="accent1"/>
    </w:rPr>
  </w:style>
  <w:style w:type="paragraph" w:styleId="TOCHeading">
    <w:name w:val="TOC Heading"/>
    <w:basedOn w:val="Normal"/>
    <w:next w:val="Normal"/>
    <w:uiPriority w:val="39"/>
    <w:rsid w:val="00892E0E"/>
    <w:pPr>
      <w:keepLines/>
      <w:spacing w:before="480" w:line="264" w:lineRule="auto"/>
      <w:jc w:val="both"/>
    </w:pPr>
    <w:rPr>
      <w:rFonts w:eastAsiaTheme="majorEastAsia" w:cstheme="majorBidi"/>
      <w:bCs/>
      <w:color w:val="auto"/>
      <w:sz w:val="28"/>
      <w:szCs w:val="28"/>
    </w:rPr>
  </w:style>
  <w:style w:type="character" w:customStyle="1" w:styleId="Heading5Char">
    <w:name w:val="Heading 5 Char"/>
    <w:basedOn w:val="DefaultParagraphFont"/>
    <w:link w:val="Heading5"/>
    <w:uiPriority w:val="9"/>
    <w:semiHidden/>
    <w:rsid w:val="00761467"/>
    <w:rPr>
      <w:rFonts w:asciiTheme="majorHAnsi" w:eastAsiaTheme="majorEastAsia" w:hAnsiTheme="majorHAnsi" w:cstheme="majorBidi"/>
      <w:color w:val="auto"/>
    </w:rPr>
  </w:style>
  <w:style w:type="character" w:customStyle="1" w:styleId="Heading6Char">
    <w:name w:val="Heading 6 Char"/>
    <w:basedOn w:val="DefaultParagraphFont"/>
    <w:link w:val="Heading6"/>
    <w:uiPriority w:val="9"/>
    <w:semiHidden/>
    <w:rsid w:val="00761467"/>
    <w:rPr>
      <w:rFonts w:asciiTheme="majorHAnsi" w:eastAsiaTheme="majorEastAsia" w:hAnsiTheme="majorHAnsi" w:cstheme="majorBidi"/>
      <w:i/>
      <w:iCs/>
      <w:color w:val="auto"/>
    </w:rPr>
  </w:style>
  <w:style w:type="character" w:styleId="Hyperlink">
    <w:name w:val="Hyperlink"/>
    <w:basedOn w:val="DefaultParagraphFont"/>
    <w:uiPriority w:val="99"/>
    <w:unhideWhenUsed/>
    <w:rsid w:val="00892E0E"/>
    <w:rPr>
      <w:color w:val="005172" w:themeColor="hyperlink"/>
      <w:u w:val="single"/>
    </w:rPr>
  </w:style>
  <w:style w:type="paragraph" w:customStyle="1" w:styleId="Hidden">
    <w:name w:val="~Hidden"/>
    <w:basedOn w:val="NoSpacing"/>
    <w:rsid w:val="00765247"/>
    <w:pPr>
      <w:framePr w:wrap="around" w:vAnchor="page" w:hAnchor="page" w:xAlign="right" w:yAlign="bottom"/>
    </w:pPr>
    <w:rPr>
      <w:color w:val="C00000"/>
    </w:rPr>
  </w:style>
  <w:style w:type="character" w:styleId="PlaceholderText">
    <w:name w:val="Placeholder Text"/>
    <w:basedOn w:val="DefaultParagraphFont"/>
    <w:uiPriority w:val="99"/>
    <w:semiHidden/>
    <w:rsid w:val="00135538"/>
    <w:rPr>
      <w:color w:val="808080"/>
    </w:rPr>
  </w:style>
  <w:style w:type="table" w:customStyle="1" w:styleId="TableClear">
    <w:name w:val="~TableClear"/>
    <w:basedOn w:val="TableNormal"/>
    <w:uiPriority w:val="99"/>
    <w:rsid w:val="00943F12"/>
    <w:pPr>
      <w:spacing w:after="0" w:line="240" w:lineRule="auto"/>
    </w:pPr>
    <w:tblPr/>
  </w:style>
  <w:style w:type="table" w:styleId="MediumShading2-Accent1">
    <w:name w:val="Medium Shading 2 Accent 1"/>
    <w:basedOn w:val="TableNormal"/>
    <w:uiPriority w:val="64"/>
    <w:rsid w:val="00B920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9C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9CAE" w:themeFill="accent1"/>
      </w:tcPr>
    </w:tblStylePr>
    <w:tblStylePr w:type="lastCol">
      <w:rPr>
        <w:b/>
        <w:bCs/>
        <w:color w:val="FFFFFF" w:themeColor="background1"/>
      </w:rPr>
      <w:tblPr/>
      <w:tcPr>
        <w:tcBorders>
          <w:left w:val="nil"/>
          <w:right w:val="nil"/>
          <w:insideH w:val="nil"/>
          <w:insideV w:val="nil"/>
        </w:tcBorders>
        <w:shd w:val="clear" w:color="auto" w:fill="5E9C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7Char">
    <w:name w:val="Heading 7 Char"/>
    <w:basedOn w:val="DefaultParagraphFont"/>
    <w:link w:val="Heading7"/>
    <w:uiPriority w:val="9"/>
    <w:semiHidden/>
    <w:rsid w:val="00761467"/>
    <w:rPr>
      <w:rFonts w:asciiTheme="majorHAnsi" w:eastAsiaTheme="majorEastAsia" w:hAnsiTheme="majorHAnsi" w:cstheme="majorBidi"/>
      <w:i/>
      <w:iCs/>
      <w:color w:val="6D6D6B" w:themeColor="text1" w:themeTint="BF"/>
    </w:rPr>
  </w:style>
  <w:style w:type="character" w:customStyle="1" w:styleId="Heading8Char">
    <w:name w:val="Heading 8 Char"/>
    <w:basedOn w:val="DefaultParagraphFont"/>
    <w:link w:val="Heading8"/>
    <w:uiPriority w:val="9"/>
    <w:semiHidden/>
    <w:rsid w:val="00761467"/>
    <w:rPr>
      <w:rFonts w:asciiTheme="majorHAnsi" w:eastAsiaTheme="majorEastAsia" w:hAnsiTheme="majorHAnsi" w:cstheme="majorBidi"/>
      <w:color w:val="6D6D6B" w:themeColor="text1" w:themeTint="BF"/>
    </w:rPr>
  </w:style>
  <w:style w:type="character" w:customStyle="1" w:styleId="Heading9Char">
    <w:name w:val="Heading 9 Char"/>
    <w:basedOn w:val="DefaultParagraphFont"/>
    <w:link w:val="Heading9"/>
    <w:uiPriority w:val="9"/>
    <w:semiHidden/>
    <w:rsid w:val="00761467"/>
    <w:rPr>
      <w:rFonts w:asciiTheme="majorHAnsi" w:eastAsiaTheme="majorEastAsia" w:hAnsiTheme="majorHAnsi" w:cstheme="majorBidi"/>
      <w:i/>
      <w:iCs/>
      <w:color w:val="6D6D6B" w:themeColor="text1" w:themeTint="BF"/>
    </w:rPr>
  </w:style>
  <w:style w:type="paragraph" w:customStyle="1" w:styleId="LastPage">
    <w:name w:val="~LastPage"/>
    <w:basedOn w:val="NoSpacing"/>
    <w:rsid w:val="00A420A7"/>
    <w:rPr>
      <w:noProof/>
      <w:color w:val="FFFFFF" w:themeColor="background1"/>
      <w:sz w:val="16"/>
      <w:lang w:eastAsia="en-GB"/>
    </w:rPr>
  </w:style>
  <w:style w:type="paragraph" w:customStyle="1" w:styleId="TableBullet2">
    <w:name w:val="~TableBullet2"/>
    <w:basedOn w:val="TableTextLeft"/>
    <w:rsid w:val="003B7AD8"/>
    <w:pPr>
      <w:tabs>
        <w:tab w:val="num" w:pos="340"/>
      </w:tabs>
      <w:spacing w:before="60" w:line="240" w:lineRule="auto"/>
      <w:ind w:left="340" w:hanging="170"/>
    </w:pPr>
    <w:rPr>
      <w:rFonts w:asciiTheme="minorHAnsi" w:hAnsiTheme="minorHAnsi"/>
      <w:color w:val="auto"/>
      <w:sz w:val="17"/>
    </w:rPr>
  </w:style>
  <w:style w:type="paragraph" w:customStyle="1" w:styleId="TableBullet3">
    <w:name w:val="~TableBullet3"/>
    <w:basedOn w:val="TableTextLeft"/>
    <w:rsid w:val="003B7AD8"/>
    <w:pPr>
      <w:tabs>
        <w:tab w:val="num" w:pos="510"/>
      </w:tabs>
      <w:spacing w:before="60" w:line="240" w:lineRule="auto"/>
      <w:ind w:left="510" w:hanging="170"/>
    </w:pPr>
    <w:rPr>
      <w:rFonts w:asciiTheme="minorHAnsi" w:hAnsiTheme="minorHAnsi"/>
      <w:color w:val="auto"/>
      <w:sz w:val="17"/>
    </w:rPr>
  </w:style>
  <w:style w:type="table" w:customStyle="1" w:styleId="TableHRWallingford">
    <w:name w:val="~TableHRWallingford"/>
    <w:basedOn w:val="TableNormal"/>
    <w:uiPriority w:val="99"/>
    <w:rsid w:val="00AA70A1"/>
    <w:pPr>
      <w:spacing w:after="0" w:line="240" w:lineRule="auto"/>
    </w:pPr>
    <w:rPr>
      <w:rFonts w:asciiTheme="minorHAnsi" w:hAnsiTheme="minorHAnsi"/>
    </w:rPr>
    <w:tblPr>
      <w:tblStyleRowBandSize w:val="1"/>
      <w:tblBorders>
        <w:top w:val="single" w:sz="4" w:space="0" w:color="5E9CAE" w:themeColor="accent1"/>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tblPr>
    <w:tcPr>
      <w:shd w:val="clear" w:color="auto" w:fill="FFFFFF" w:themeFill="background1"/>
    </w:tcPr>
    <w:tblStylePr w:type="firstRow">
      <w:tblPr/>
      <w:trPr>
        <w:cantSplit/>
        <w:tblHeader/>
      </w:trPr>
      <w:tcPr>
        <w:tcBorders>
          <w:top w:val="single" w:sz="4" w:space="0" w:color="5E9CAE" w:themeColor="accent1"/>
          <w:left w:val="single" w:sz="4" w:space="0" w:color="5E9CAE" w:themeColor="accent1"/>
          <w:bottom w:val="single" w:sz="4" w:space="0" w:color="5E9CAE" w:themeColor="accent1"/>
          <w:right w:val="single" w:sz="4" w:space="0" w:color="5E9CAE" w:themeColor="accent1"/>
          <w:insideH w:val="nil"/>
          <w:insideV w:val="single" w:sz="4" w:space="0" w:color="FFFFFF" w:themeColor="background1"/>
          <w:tl2br w:val="nil"/>
          <w:tr2bl w:val="nil"/>
        </w:tcBorders>
        <w:shd w:val="clear" w:color="auto" w:fill="5E9CAE" w:themeFill="accent1"/>
      </w:tcPr>
    </w:tblStylePr>
    <w:tblStylePr w:type="firstCol">
      <w:rPr>
        <w:color w:val="5E9CAE" w:themeColor="accent1"/>
      </w:rPr>
    </w:tblStylePr>
    <w:tblStylePr w:type="band1Horz">
      <w:tblPr/>
      <w:tcPr>
        <w:shd w:val="clear" w:color="auto" w:fill="FFFFFF" w:themeFill="background1"/>
      </w:tcPr>
    </w:tblStylePr>
    <w:tblStylePr w:type="band2Horz">
      <w:tblPr/>
      <w:tcPr>
        <w:tcBorders>
          <w:left w:val="single" w:sz="4" w:space="0" w:color="E4E4E4" w:themeColor="background2"/>
          <w:right w:val="single" w:sz="4" w:space="0" w:color="E4E4E4" w:themeColor="background2"/>
          <w:insideH w:val="nil"/>
          <w:insideV w:val="single" w:sz="4" w:space="0" w:color="E4E4E4" w:themeColor="background2"/>
          <w:tl2br w:val="nil"/>
          <w:tr2bl w:val="nil"/>
        </w:tcBorders>
        <w:shd w:val="clear" w:color="auto" w:fill="E4E4E4" w:themeFill="background2"/>
      </w:tcPr>
    </w:tblStylePr>
  </w:style>
  <w:style w:type="paragraph" w:customStyle="1" w:styleId="DocInfoHead">
    <w:name w:val="~DocInfoHead"/>
    <w:basedOn w:val="SecHeadNonToc"/>
    <w:qFormat/>
    <w:rsid w:val="00BE2DFE"/>
  </w:style>
  <w:style w:type="paragraph" w:customStyle="1" w:styleId="DocInfoSubHead">
    <w:name w:val="~DocInfoSubHead"/>
    <w:basedOn w:val="DocInfoHead"/>
    <w:qFormat/>
    <w:rsid w:val="00BD60F3"/>
    <w:pPr>
      <w:spacing w:before="120" w:after="0" w:line="264" w:lineRule="auto"/>
    </w:pPr>
    <w:rPr>
      <w:sz w:val="20"/>
    </w:rPr>
  </w:style>
  <w:style w:type="paragraph" w:customStyle="1" w:styleId="DocProjNumber">
    <w:name w:val="~DocProjNumber"/>
    <w:basedOn w:val="Normal"/>
    <w:semiHidden/>
    <w:rsid w:val="00A93887"/>
  </w:style>
  <w:style w:type="paragraph" w:customStyle="1" w:styleId="DocProjectName">
    <w:name w:val="~DocProjectName"/>
    <w:basedOn w:val="Normal"/>
    <w:semiHidden/>
    <w:rsid w:val="003E0B50"/>
  </w:style>
  <w:style w:type="paragraph" w:customStyle="1" w:styleId="DocClientRep">
    <w:name w:val="~DocClientRep"/>
    <w:basedOn w:val="Normal"/>
    <w:semiHidden/>
    <w:rsid w:val="004E31BF"/>
  </w:style>
  <w:style w:type="paragraph" w:customStyle="1" w:styleId="DocRelease">
    <w:name w:val="~DocRelease"/>
    <w:basedOn w:val="Normal"/>
    <w:semiHidden/>
    <w:rsid w:val="000B493D"/>
  </w:style>
  <w:style w:type="paragraph" w:customStyle="1" w:styleId="GraphicsLeft">
    <w:name w:val="~GraphicsLeft"/>
    <w:basedOn w:val="NoSpacing"/>
    <w:rsid w:val="00810771"/>
    <w:rPr>
      <w:rFonts w:asciiTheme="minorHAnsi" w:hAnsiTheme="minorHAnsi"/>
      <w:color w:val="auto"/>
      <w:szCs w:val="22"/>
    </w:rPr>
  </w:style>
  <w:style w:type="paragraph" w:customStyle="1" w:styleId="DocProjManager">
    <w:name w:val="~DocProjManager"/>
    <w:basedOn w:val="Normal"/>
    <w:semiHidden/>
    <w:rsid w:val="004E31BF"/>
  </w:style>
  <w:style w:type="paragraph" w:styleId="TableofFigures">
    <w:name w:val="table of figures"/>
    <w:basedOn w:val="TOC2"/>
    <w:next w:val="Normal"/>
    <w:uiPriority w:val="99"/>
    <w:unhideWhenUsed/>
    <w:rsid w:val="00F9532E"/>
    <w:pPr>
      <w:tabs>
        <w:tab w:val="left" w:pos="1417"/>
      </w:tabs>
      <w:ind w:left="1417" w:hanging="992"/>
    </w:pPr>
  </w:style>
  <w:style w:type="paragraph" w:customStyle="1" w:styleId="DocProjDirector">
    <w:name w:val="~DocProjDirector"/>
    <w:basedOn w:val="Normal"/>
    <w:semiHidden/>
    <w:rsid w:val="007A1087"/>
  </w:style>
  <w:style w:type="paragraph" w:customStyle="1" w:styleId="DocReleaseLatest">
    <w:name w:val="~DocReleaseLatest"/>
    <w:basedOn w:val="Normal"/>
    <w:semiHidden/>
    <w:rsid w:val="00654DE2"/>
  </w:style>
  <w:style w:type="paragraph" w:customStyle="1" w:styleId="DocTitleFooterRef">
    <w:name w:val="~DocTitleFooterRef"/>
    <w:basedOn w:val="DocNumber"/>
    <w:rsid w:val="002D7B30"/>
    <w:pPr>
      <w:spacing w:before="0"/>
    </w:pPr>
    <w:rPr>
      <w:bCs/>
      <w:noProof/>
      <w:color w:val="FFFFFF" w:themeColor="background1"/>
      <w:sz w:val="32"/>
      <w:lang w:val="en-US"/>
    </w:rPr>
  </w:style>
  <w:style w:type="paragraph" w:customStyle="1" w:styleId="Disclaimer">
    <w:name w:val="~Disclaimer"/>
    <w:basedOn w:val="Normal"/>
    <w:semiHidden/>
    <w:rsid w:val="00AB0900"/>
    <w:rPr>
      <w:sz w:val="14"/>
    </w:rPr>
  </w:style>
  <w:style w:type="paragraph" w:customStyle="1" w:styleId="Unsigned">
    <w:name w:val="~Unsigned"/>
    <w:basedOn w:val="Normal"/>
    <w:rsid w:val="00C57EB4"/>
    <w:pPr>
      <w:framePr w:wrap="around" w:hAnchor="page" w:x="1135" w:yAlign="bottom"/>
      <w:suppressOverlap/>
    </w:pPr>
    <w:rPr>
      <w:color w:val="005172" w:themeColor="accent2"/>
      <w:sz w:val="22"/>
    </w:rPr>
  </w:style>
  <w:style w:type="paragraph" w:customStyle="1" w:styleId="DocClientRef">
    <w:name w:val="~DocClientRef"/>
    <w:basedOn w:val="NoSpacing"/>
    <w:semiHidden/>
    <w:rsid w:val="00896E26"/>
    <w:pPr>
      <w:framePr w:hSpace="181" w:wrap="around" w:vAnchor="text" w:hAnchor="margin" w:y="1"/>
      <w:suppressOverlap/>
    </w:pPr>
    <w:rPr>
      <w:sz w:val="32"/>
    </w:rPr>
  </w:style>
  <w:style w:type="paragraph" w:customStyle="1" w:styleId="DocDate">
    <w:name w:val="~DocDate"/>
    <w:basedOn w:val="DocClientRef"/>
    <w:next w:val="Normal"/>
    <w:rsid w:val="00662260"/>
    <w:pPr>
      <w:framePr w:hSpace="0" w:wrap="auto" w:vAnchor="margin" w:hAnchor="text" w:yAlign="inline"/>
      <w:spacing w:after="360"/>
      <w:suppressOverlap w:val="0"/>
    </w:pPr>
    <w:rPr>
      <w:sz w:val="24"/>
    </w:rPr>
  </w:style>
  <w:style w:type="paragraph" w:customStyle="1" w:styleId="CodeBlack">
    <w:name w:val="~CodeBlack"/>
    <w:basedOn w:val="Normal"/>
    <w:qFormat/>
    <w:rsid w:val="00254692"/>
    <w:pPr>
      <w:spacing w:before="0"/>
    </w:pPr>
    <w:rPr>
      <w:rFonts w:ascii="Courier New" w:hAnsi="Courier New" w:cs="Courier New"/>
    </w:rPr>
  </w:style>
  <w:style w:type="paragraph" w:customStyle="1" w:styleId="CodeBlue">
    <w:name w:val="~CodeBlue"/>
    <w:basedOn w:val="CodeBlack"/>
    <w:qFormat/>
    <w:rsid w:val="00254692"/>
    <w:rPr>
      <w:color w:val="0070C0"/>
    </w:rPr>
  </w:style>
  <w:style w:type="paragraph" w:customStyle="1" w:styleId="CodeGreen">
    <w:name w:val="~CodeGreen"/>
    <w:basedOn w:val="CodeBlack"/>
    <w:qFormat/>
    <w:rsid w:val="00254692"/>
    <w:rPr>
      <w:color w:val="00B050"/>
    </w:rPr>
  </w:style>
  <w:style w:type="paragraph" w:customStyle="1" w:styleId="CodeRed">
    <w:name w:val="~CodeRed"/>
    <w:basedOn w:val="CodeBlack"/>
    <w:qFormat/>
    <w:rsid w:val="00254692"/>
    <w:rPr>
      <w:color w:val="FF0000"/>
    </w:rPr>
  </w:style>
  <w:style w:type="character" w:styleId="CommentReference">
    <w:name w:val="annotation reference"/>
    <w:basedOn w:val="DefaultParagraphFont"/>
    <w:uiPriority w:val="99"/>
    <w:semiHidden/>
    <w:unhideWhenUsed/>
    <w:rsid w:val="009136E3"/>
    <w:rPr>
      <w:sz w:val="16"/>
      <w:szCs w:val="16"/>
    </w:rPr>
  </w:style>
  <w:style w:type="paragraph" w:styleId="CommentText">
    <w:name w:val="annotation text"/>
    <w:basedOn w:val="Normal"/>
    <w:link w:val="CommentTextChar"/>
    <w:uiPriority w:val="99"/>
    <w:semiHidden/>
    <w:unhideWhenUsed/>
    <w:rsid w:val="009136E3"/>
    <w:pPr>
      <w:spacing w:line="240" w:lineRule="auto"/>
    </w:pPr>
  </w:style>
  <w:style w:type="character" w:customStyle="1" w:styleId="CommentTextChar">
    <w:name w:val="Comment Text Char"/>
    <w:basedOn w:val="DefaultParagraphFont"/>
    <w:link w:val="CommentText"/>
    <w:uiPriority w:val="99"/>
    <w:semiHidden/>
    <w:rsid w:val="009136E3"/>
  </w:style>
  <w:style w:type="paragraph" w:styleId="CommentSubject">
    <w:name w:val="annotation subject"/>
    <w:basedOn w:val="CommentText"/>
    <w:next w:val="CommentText"/>
    <w:link w:val="CommentSubjectChar"/>
    <w:uiPriority w:val="99"/>
    <w:semiHidden/>
    <w:unhideWhenUsed/>
    <w:rsid w:val="009136E3"/>
    <w:rPr>
      <w:b/>
      <w:bCs/>
    </w:rPr>
  </w:style>
  <w:style w:type="character" w:customStyle="1" w:styleId="CommentSubjectChar">
    <w:name w:val="Comment Subject Char"/>
    <w:basedOn w:val="CommentTextChar"/>
    <w:link w:val="CommentSubject"/>
    <w:uiPriority w:val="99"/>
    <w:semiHidden/>
    <w:rsid w:val="009136E3"/>
    <w:rPr>
      <w:b/>
      <w:bCs/>
    </w:rPr>
  </w:style>
  <w:style w:type="paragraph" w:styleId="Revision">
    <w:name w:val="Revision"/>
    <w:hidden/>
    <w:uiPriority w:val="99"/>
    <w:semiHidden/>
    <w:rsid w:val="00D55D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3C3C3B" w:themeColor="text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semiHidden="0" w:uiPriority="39" w:unhideWhenUsed="0"/>
    <w:lsdException w:name="footnote text" w:uiPriority="0"/>
    <w:lsdException w:name="caption" w:uiPriority="0" w:qFormat="1"/>
    <w:lsdException w:name="footnote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latentStyles>
  <w:style w:type="paragraph" w:default="1" w:styleId="Normal">
    <w:name w:val="Normal"/>
    <w:aliases w:val="~BodyText"/>
    <w:qFormat/>
    <w:rsid w:val="005C1BA8"/>
    <w:pPr>
      <w:spacing w:before="120" w:after="0" w:line="288" w:lineRule="auto"/>
    </w:pPr>
  </w:style>
  <w:style w:type="paragraph" w:styleId="Heading1">
    <w:name w:val="heading 1"/>
    <w:aliases w:val="~SectionHeading"/>
    <w:basedOn w:val="SecHeadNonToc"/>
    <w:next w:val="Normal"/>
    <w:link w:val="Heading1Char"/>
    <w:uiPriority w:val="9"/>
    <w:qFormat/>
    <w:rsid w:val="00606763"/>
    <w:pPr>
      <w:numPr>
        <w:numId w:val="18"/>
      </w:numPr>
      <w:spacing w:before="240"/>
      <w:outlineLvl w:val="0"/>
    </w:pPr>
    <w:rPr>
      <w:rFonts w:ascii="Arial" w:hAnsi="Arial" w:cs="Arial"/>
      <w:color w:val="005172"/>
    </w:rPr>
  </w:style>
  <w:style w:type="paragraph" w:styleId="Heading2">
    <w:name w:val="heading 2"/>
    <w:aliases w:val="~SubHeading"/>
    <w:basedOn w:val="Heading1"/>
    <w:next w:val="Normal"/>
    <w:link w:val="Heading2Char"/>
    <w:uiPriority w:val="9"/>
    <w:qFormat/>
    <w:rsid w:val="00606763"/>
    <w:pPr>
      <w:numPr>
        <w:ilvl w:val="1"/>
      </w:numPr>
      <w:outlineLvl w:val="1"/>
    </w:pPr>
    <w:rPr>
      <w:color w:val="5E9CAE"/>
      <w:sz w:val="32"/>
    </w:rPr>
  </w:style>
  <w:style w:type="paragraph" w:styleId="Heading3">
    <w:name w:val="heading 3"/>
    <w:aliases w:val="~MinorSubHeading"/>
    <w:basedOn w:val="Heading2"/>
    <w:next w:val="Normal"/>
    <w:link w:val="Heading3Char"/>
    <w:uiPriority w:val="9"/>
    <w:qFormat/>
    <w:rsid w:val="00606763"/>
    <w:pPr>
      <w:numPr>
        <w:ilvl w:val="2"/>
      </w:numPr>
      <w:outlineLvl w:val="2"/>
    </w:pPr>
    <w:rPr>
      <w:sz w:val="26"/>
    </w:rPr>
  </w:style>
  <w:style w:type="paragraph" w:styleId="Heading4">
    <w:name w:val="heading 4"/>
    <w:aliases w:val="~Level4Heading"/>
    <w:basedOn w:val="Heading3"/>
    <w:next w:val="Normal"/>
    <w:link w:val="Heading4Char"/>
    <w:uiPriority w:val="9"/>
    <w:semiHidden/>
    <w:qFormat/>
    <w:rsid w:val="00761467"/>
    <w:pPr>
      <w:numPr>
        <w:ilvl w:val="0"/>
        <w:numId w:val="0"/>
      </w:numPr>
      <w:outlineLvl w:val="3"/>
    </w:pPr>
    <w:rPr>
      <w:color w:val="005172"/>
      <w:sz w:val="24"/>
    </w:rPr>
  </w:style>
  <w:style w:type="paragraph" w:styleId="Heading5">
    <w:name w:val="heading 5"/>
    <w:basedOn w:val="Normal"/>
    <w:next w:val="Normal"/>
    <w:link w:val="Heading5Char"/>
    <w:uiPriority w:val="9"/>
    <w:semiHidden/>
    <w:qFormat/>
    <w:rsid w:val="00761467"/>
    <w:pPr>
      <w:keepNext/>
      <w:keepLines/>
      <w:spacing w:before="200"/>
      <w:outlineLvl w:val="4"/>
    </w:pPr>
    <w:rPr>
      <w:rFonts w:asciiTheme="majorHAnsi" w:eastAsiaTheme="majorEastAsia" w:hAnsiTheme="majorHAnsi" w:cstheme="majorBidi"/>
      <w:color w:val="auto"/>
    </w:rPr>
  </w:style>
  <w:style w:type="paragraph" w:styleId="Heading6">
    <w:name w:val="heading 6"/>
    <w:basedOn w:val="Normal"/>
    <w:next w:val="Normal"/>
    <w:link w:val="Heading6Char"/>
    <w:uiPriority w:val="9"/>
    <w:semiHidden/>
    <w:qFormat/>
    <w:rsid w:val="00761467"/>
    <w:pPr>
      <w:keepNext/>
      <w:keepLines/>
      <w:spacing w:before="200"/>
      <w:outlineLvl w:val="5"/>
    </w:pPr>
    <w:rPr>
      <w:rFonts w:asciiTheme="majorHAnsi" w:eastAsiaTheme="majorEastAsia" w:hAnsiTheme="majorHAnsi" w:cstheme="majorBidi"/>
      <w:i/>
      <w:iCs/>
      <w:color w:val="auto"/>
    </w:rPr>
  </w:style>
  <w:style w:type="paragraph" w:styleId="Heading7">
    <w:name w:val="heading 7"/>
    <w:basedOn w:val="Normal"/>
    <w:next w:val="Normal"/>
    <w:link w:val="Heading7Char"/>
    <w:uiPriority w:val="9"/>
    <w:semiHidden/>
    <w:qFormat/>
    <w:rsid w:val="00761467"/>
    <w:pPr>
      <w:keepNext/>
      <w:keepLines/>
      <w:spacing w:before="200"/>
      <w:outlineLvl w:val="6"/>
    </w:pPr>
    <w:rPr>
      <w:rFonts w:asciiTheme="majorHAnsi" w:eastAsiaTheme="majorEastAsia" w:hAnsiTheme="majorHAnsi" w:cstheme="majorBidi"/>
      <w:i/>
      <w:iCs/>
      <w:color w:val="6D6D6B" w:themeColor="text1" w:themeTint="BF"/>
    </w:rPr>
  </w:style>
  <w:style w:type="paragraph" w:styleId="Heading8">
    <w:name w:val="heading 8"/>
    <w:basedOn w:val="Normal"/>
    <w:next w:val="Normal"/>
    <w:link w:val="Heading8Char"/>
    <w:uiPriority w:val="9"/>
    <w:semiHidden/>
    <w:qFormat/>
    <w:rsid w:val="00761467"/>
    <w:pPr>
      <w:keepNext/>
      <w:keepLines/>
      <w:spacing w:before="200"/>
      <w:outlineLvl w:val="7"/>
    </w:pPr>
    <w:rPr>
      <w:rFonts w:asciiTheme="majorHAnsi" w:eastAsiaTheme="majorEastAsia" w:hAnsiTheme="majorHAnsi" w:cstheme="majorBidi"/>
      <w:color w:val="6D6D6B" w:themeColor="text1" w:themeTint="BF"/>
    </w:rPr>
  </w:style>
  <w:style w:type="paragraph" w:styleId="Heading9">
    <w:name w:val="heading 9"/>
    <w:basedOn w:val="Normal"/>
    <w:next w:val="Normal"/>
    <w:link w:val="Heading9Char"/>
    <w:uiPriority w:val="9"/>
    <w:semiHidden/>
    <w:qFormat/>
    <w:rsid w:val="00761467"/>
    <w:pPr>
      <w:keepNext/>
      <w:keepLines/>
      <w:spacing w:before="200"/>
      <w:outlineLvl w:val="8"/>
    </w:pPr>
    <w:rPr>
      <w:rFonts w:asciiTheme="majorHAnsi" w:eastAsiaTheme="majorEastAsia" w:hAnsiTheme="majorHAnsi" w:cstheme="majorBidi"/>
      <w:i/>
      <w:iCs/>
      <w:color w:val="6D6D6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aseStyle"/>
    <w:uiPriority w:val="1"/>
    <w:rsid w:val="000D4D4E"/>
    <w:pPr>
      <w:spacing w:after="0" w:line="240" w:lineRule="auto"/>
    </w:pPr>
  </w:style>
  <w:style w:type="paragraph" w:customStyle="1" w:styleId="DocNumber">
    <w:name w:val="~DocNumber"/>
    <w:basedOn w:val="NoSpacing"/>
    <w:rsid w:val="00D417B7"/>
    <w:pPr>
      <w:spacing w:before="120" w:line="264" w:lineRule="auto"/>
    </w:pPr>
  </w:style>
  <w:style w:type="paragraph" w:customStyle="1" w:styleId="DocTitle">
    <w:name w:val="~DocTitle"/>
    <w:basedOn w:val="Normal"/>
    <w:next w:val="Normal"/>
    <w:rsid w:val="00662260"/>
    <w:pPr>
      <w:spacing w:before="0" w:after="240" w:line="216" w:lineRule="auto"/>
    </w:pPr>
    <w:rPr>
      <w:color w:val="005172" w:themeColor="accent2"/>
      <w:sz w:val="52"/>
    </w:rPr>
  </w:style>
  <w:style w:type="paragraph" w:customStyle="1" w:styleId="DocSubTitle">
    <w:name w:val="~DocSubTitle"/>
    <w:basedOn w:val="NoSpacing"/>
    <w:next w:val="Normal"/>
    <w:rsid w:val="00662260"/>
    <w:pPr>
      <w:spacing w:after="240"/>
    </w:pPr>
    <w:rPr>
      <w:color w:val="5E9CAE" w:themeColor="accent1"/>
      <w:sz w:val="36"/>
    </w:rPr>
  </w:style>
  <w:style w:type="paragraph" w:customStyle="1" w:styleId="DocClient">
    <w:name w:val="~DocClient"/>
    <w:basedOn w:val="DocTitle"/>
    <w:semiHidden/>
    <w:rsid w:val="002551D9"/>
  </w:style>
  <w:style w:type="paragraph" w:customStyle="1" w:styleId="Confidential">
    <w:name w:val="~Confidential"/>
    <w:basedOn w:val="NoSpacing"/>
    <w:rsid w:val="00C66EC4"/>
  </w:style>
  <w:style w:type="paragraph" w:customStyle="1" w:styleId="Draft">
    <w:name w:val="~Draft"/>
    <w:basedOn w:val="NoSpacing"/>
    <w:rsid w:val="00377820"/>
    <w:rPr>
      <w:b/>
      <w:caps/>
      <w:color w:val="E4E4E4" w:themeColor="background2"/>
      <w:sz w:val="36"/>
    </w:rPr>
  </w:style>
  <w:style w:type="paragraph" w:customStyle="1" w:styleId="SecHeadNonToc">
    <w:name w:val="~SecHeadNonToc"/>
    <w:basedOn w:val="NoSpacing"/>
    <w:next w:val="Normal"/>
    <w:qFormat/>
    <w:rsid w:val="00233074"/>
    <w:pPr>
      <w:keepNext/>
      <w:spacing w:after="240"/>
    </w:pPr>
    <w:rPr>
      <w:rFonts w:asciiTheme="majorHAnsi" w:hAnsiTheme="majorHAnsi"/>
      <w:color w:val="005172" w:themeColor="accent2"/>
      <w:sz w:val="40"/>
    </w:rPr>
  </w:style>
  <w:style w:type="paragraph" w:customStyle="1" w:styleId="AppendixDivider">
    <w:name w:val="~AppendixDivider"/>
    <w:basedOn w:val="SecHeadNonToc"/>
    <w:next w:val="Normal"/>
    <w:rsid w:val="00E37D77"/>
    <w:pPr>
      <w:outlineLvl w:val="0"/>
    </w:pPr>
  </w:style>
  <w:style w:type="paragraph" w:customStyle="1" w:styleId="AppHead">
    <w:name w:val="~AppHead"/>
    <w:basedOn w:val="AppendixDivider"/>
    <w:next w:val="Normal"/>
    <w:qFormat/>
    <w:rsid w:val="00606763"/>
    <w:pPr>
      <w:numPr>
        <w:numId w:val="19"/>
      </w:numPr>
      <w:spacing w:before="240"/>
    </w:pPr>
    <w:rPr>
      <w:rFonts w:ascii="Arial" w:hAnsi="Arial" w:cs="Arial"/>
      <w:color w:val="5E9CAE"/>
      <w:szCs w:val="40"/>
    </w:rPr>
  </w:style>
  <w:style w:type="paragraph" w:customStyle="1" w:styleId="AppSubHead">
    <w:name w:val="~AppSubHead"/>
    <w:basedOn w:val="AppHead"/>
    <w:next w:val="Normal"/>
    <w:qFormat/>
    <w:rsid w:val="00606763"/>
    <w:pPr>
      <w:numPr>
        <w:ilvl w:val="1"/>
      </w:numPr>
    </w:pPr>
    <w:rPr>
      <w:sz w:val="32"/>
      <w:szCs w:val="32"/>
    </w:rPr>
  </w:style>
  <w:style w:type="paragraph" w:customStyle="1" w:styleId="AppMinorSubHead">
    <w:name w:val="~AppMinorSubHead"/>
    <w:basedOn w:val="AppSubHead"/>
    <w:next w:val="Normal"/>
    <w:qFormat/>
    <w:rsid w:val="00606763"/>
    <w:pPr>
      <w:numPr>
        <w:ilvl w:val="2"/>
      </w:numPr>
    </w:pPr>
    <w:rPr>
      <w:sz w:val="26"/>
    </w:rPr>
  </w:style>
  <w:style w:type="paragraph" w:customStyle="1" w:styleId="BodyHeading">
    <w:name w:val="~BodyHeading"/>
    <w:basedOn w:val="Normal"/>
    <w:next w:val="Normal"/>
    <w:qFormat/>
    <w:rsid w:val="003F6EED"/>
    <w:pPr>
      <w:keepNext/>
    </w:pPr>
    <w:rPr>
      <w:b/>
      <w:color w:val="005172" w:themeColor="accent2"/>
    </w:rPr>
  </w:style>
  <w:style w:type="paragraph" w:customStyle="1" w:styleId="Bullet1">
    <w:name w:val="~Bullet1"/>
    <w:basedOn w:val="Normal"/>
    <w:qFormat/>
    <w:rsid w:val="007F2DA7"/>
    <w:pPr>
      <w:numPr>
        <w:numId w:val="1"/>
      </w:numPr>
      <w:spacing w:before="60" w:after="60"/>
    </w:pPr>
    <w:rPr>
      <w:rFonts w:eastAsia="Calibri" w:cs="Arial"/>
    </w:rPr>
  </w:style>
  <w:style w:type="paragraph" w:customStyle="1" w:styleId="Bullet2">
    <w:name w:val="~Bullet2"/>
    <w:basedOn w:val="Bullet1"/>
    <w:qFormat/>
    <w:rsid w:val="0044047A"/>
    <w:pPr>
      <w:numPr>
        <w:ilvl w:val="1"/>
      </w:numPr>
    </w:pPr>
  </w:style>
  <w:style w:type="paragraph" w:customStyle="1" w:styleId="Bullet3">
    <w:name w:val="~Bullet3"/>
    <w:basedOn w:val="Bullet2"/>
    <w:rsid w:val="0044047A"/>
    <w:pPr>
      <w:numPr>
        <w:ilvl w:val="2"/>
      </w:numPr>
    </w:pPr>
  </w:style>
  <w:style w:type="paragraph" w:styleId="Caption">
    <w:name w:val="caption"/>
    <w:aliases w:val="~Caption"/>
    <w:basedOn w:val="BodyHeading"/>
    <w:next w:val="Normal"/>
    <w:link w:val="CaptionChar"/>
    <w:qFormat/>
    <w:rsid w:val="00F6743D"/>
    <w:pPr>
      <w:spacing w:after="60" w:line="240" w:lineRule="auto"/>
    </w:pPr>
    <w:rPr>
      <w:rFonts w:eastAsia="Calibri" w:cs="Arial"/>
      <w:b w:val="0"/>
      <w:color w:val="5E9CAE" w:themeColor="accent1"/>
    </w:rPr>
  </w:style>
  <w:style w:type="paragraph" w:customStyle="1" w:styleId="CaptionWide">
    <w:name w:val="~CaptionWide"/>
    <w:basedOn w:val="Caption"/>
    <w:next w:val="Normal"/>
    <w:semiHidden/>
    <w:qFormat/>
    <w:rsid w:val="00F6743D"/>
    <w:pPr>
      <w:ind w:left="-1985"/>
    </w:pPr>
    <w:rPr>
      <w:bCs/>
    </w:rPr>
  </w:style>
  <w:style w:type="paragraph" w:customStyle="1" w:styleId="ExecSumHead">
    <w:name w:val="~ExecSumHead"/>
    <w:basedOn w:val="SecHeadNonToc"/>
    <w:next w:val="Normal"/>
    <w:rsid w:val="00C878AD"/>
    <w:pPr>
      <w:outlineLvl w:val="0"/>
    </w:pPr>
  </w:style>
  <w:style w:type="paragraph" w:customStyle="1" w:styleId="ExecSumSubHead">
    <w:name w:val="~ExecSumSubHead"/>
    <w:basedOn w:val="ExecSumHead"/>
    <w:next w:val="Normal"/>
    <w:rsid w:val="002867BE"/>
    <w:pPr>
      <w:spacing w:before="240"/>
      <w:outlineLvl w:val="1"/>
    </w:pPr>
    <w:rPr>
      <w:color w:val="5E9CAE" w:themeColor="accent1"/>
      <w:sz w:val="32"/>
    </w:rPr>
  </w:style>
  <w:style w:type="paragraph" w:customStyle="1" w:styleId="GraphicLeft">
    <w:name w:val="~GraphicLeft"/>
    <w:basedOn w:val="NoSpacing"/>
    <w:rsid w:val="00B470A3"/>
  </w:style>
  <w:style w:type="paragraph" w:customStyle="1" w:styleId="GraphicCentre">
    <w:name w:val="~GraphicCentre"/>
    <w:basedOn w:val="GraphicLeft"/>
    <w:rsid w:val="0044047A"/>
    <w:pPr>
      <w:jc w:val="center"/>
    </w:pPr>
  </w:style>
  <w:style w:type="paragraph" w:customStyle="1" w:styleId="GraphicRight">
    <w:name w:val="~GraphicRight"/>
    <w:basedOn w:val="GraphicLeft"/>
    <w:rsid w:val="0044047A"/>
    <w:pPr>
      <w:jc w:val="right"/>
    </w:pPr>
  </w:style>
  <w:style w:type="paragraph" w:customStyle="1" w:styleId="IntroText">
    <w:name w:val="~IntroText"/>
    <w:basedOn w:val="Normal"/>
    <w:next w:val="Normal"/>
    <w:qFormat/>
    <w:rsid w:val="008E65E7"/>
    <w:rPr>
      <w:color w:val="5E9CAE" w:themeColor="accent1"/>
      <w:sz w:val="24"/>
    </w:rPr>
  </w:style>
  <w:style w:type="paragraph" w:customStyle="1" w:styleId="NumBullet1">
    <w:name w:val="~NumBullet1"/>
    <w:basedOn w:val="Bullet1"/>
    <w:qFormat/>
    <w:rsid w:val="0044047A"/>
    <w:pPr>
      <w:numPr>
        <w:numId w:val="2"/>
      </w:numPr>
    </w:pPr>
  </w:style>
  <w:style w:type="paragraph" w:customStyle="1" w:styleId="NumBullet2">
    <w:name w:val="~NumBullet2"/>
    <w:basedOn w:val="NumBullet1"/>
    <w:qFormat/>
    <w:rsid w:val="0044047A"/>
    <w:pPr>
      <w:numPr>
        <w:ilvl w:val="1"/>
      </w:numPr>
    </w:pPr>
  </w:style>
  <w:style w:type="paragraph" w:customStyle="1" w:styleId="NumBullet3">
    <w:name w:val="~NumBullet3"/>
    <w:basedOn w:val="NumBullet2"/>
    <w:rsid w:val="0044047A"/>
    <w:pPr>
      <w:numPr>
        <w:ilvl w:val="2"/>
      </w:numPr>
    </w:pPr>
  </w:style>
  <w:style w:type="paragraph" w:customStyle="1" w:styleId="Source">
    <w:name w:val="~Source"/>
    <w:basedOn w:val="Normal"/>
    <w:next w:val="Normal"/>
    <w:qFormat/>
    <w:rsid w:val="00C46917"/>
    <w:pPr>
      <w:spacing w:before="60" w:after="120"/>
      <w:ind w:left="851" w:hanging="851"/>
    </w:pPr>
    <w:rPr>
      <w:rFonts w:eastAsia="Calibri" w:cs="Arial"/>
      <w:i/>
      <w:color w:val="9D9D9C" w:themeColor="text2"/>
      <w:sz w:val="18"/>
    </w:rPr>
  </w:style>
  <w:style w:type="paragraph" w:customStyle="1" w:styleId="SourceWide">
    <w:name w:val="~SourceWide"/>
    <w:basedOn w:val="Source"/>
    <w:next w:val="Normal"/>
    <w:rsid w:val="00822A0C"/>
    <w:pPr>
      <w:ind w:left="-1134"/>
    </w:pPr>
  </w:style>
  <w:style w:type="paragraph" w:customStyle="1" w:styleId="Spacer">
    <w:name w:val="~Spacer"/>
    <w:basedOn w:val="NoSpacing"/>
    <w:qFormat/>
    <w:rsid w:val="00DD1035"/>
    <w:rPr>
      <w:color w:val="FFFFFF" w:themeColor="background1"/>
      <w:sz w:val="2"/>
    </w:rPr>
  </w:style>
  <w:style w:type="paragraph" w:customStyle="1" w:styleId="TableTextLeft">
    <w:name w:val="~TableTextLeft"/>
    <w:basedOn w:val="Normal"/>
    <w:qFormat/>
    <w:rsid w:val="000171CC"/>
    <w:pPr>
      <w:spacing w:before="40" w:after="20"/>
    </w:pPr>
  </w:style>
  <w:style w:type="paragraph" w:customStyle="1" w:styleId="TableBullet1">
    <w:name w:val="~TableBullet1"/>
    <w:basedOn w:val="TableTextLeft"/>
    <w:qFormat/>
    <w:rsid w:val="0044047A"/>
    <w:pPr>
      <w:numPr>
        <w:numId w:val="3"/>
      </w:numPr>
    </w:pPr>
    <w:rPr>
      <w:rFonts w:eastAsia="Calibri" w:cs="Arial"/>
    </w:rPr>
  </w:style>
  <w:style w:type="paragraph" w:customStyle="1" w:styleId="TableHeadingLeft">
    <w:name w:val="~TableHeadingLeft"/>
    <w:basedOn w:val="TableTextLeft"/>
    <w:qFormat/>
    <w:rsid w:val="008D0B78"/>
    <w:pPr>
      <w:keepNext/>
    </w:pPr>
    <w:rPr>
      <w:b/>
      <w:color w:val="FFFFFF" w:themeColor="background1"/>
      <w:szCs w:val="26"/>
    </w:rPr>
  </w:style>
  <w:style w:type="paragraph" w:customStyle="1" w:styleId="TableHeadingCentre">
    <w:name w:val="~TableHeadingCentre"/>
    <w:basedOn w:val="TableHeadingLeft"/>
    <w:rsid w:val="0044047A"/>
    <w:pPr>
      <w:jc w:val="center"/>
    </w:pPr>
  </w:style>
  <w:style w:type="paragraph" w:customStyle="1" w:styleId="TableHeadingRight">
    <w:name w:val="~TableHeadingRight"/>
    <w:basedOn w:val="TableHeadingLeft"/>
    <w:rsid w:val="0044047A"/>
    <w:pPr>
      <w:jc w:val="right"/>
    </w:pPr>
  </w:style>
  <w:style w:type="paragraph" w:customStyle="1" w:styleId="DocPermissions">
    <w:name w:val="~DocPermissions"/>
    <w:basedOn w:val="Normal"/>
    <w:semiHidden/>
    <w:rsid w:val="004E31BF"/>
  </w:style>
  <w:style w:type="paragraph" w:customStyle="1" w:styleId="TableTextCentre">
    <w:name w:val="~TableTextCentre"/>
    <w:basedOn w:val="TableTextLeft"/>
    <w:rsid w:val="0044047A"/>
    <w:pPr>
      <w:jc w:val="center"/>
    </w:pPr>
  </w:style>
  <w:style w:type="paragraph" w:customStyle="1" w:styleId="TableTextRight">
    <w:name w:val="~TableTextRight"/>
    <w:basedOn w:val="TableTextLeft"/>
    <w:rsid w:val="0044047A"/>
    <w:pPr>
      <w:jc w:val="right"/>
    </w:pPr>
  </w:style>
  <w:style w:type="paragraph" w:customStyle="1" w:styleId="TableTotalLeft">
    <w:name w:val="~TableTotalLeft"/>
    <w:basedOn w:val="TableTextLeft"/>
    <w:rsid w:val="0044047A"/>
    <w:rPr>
      <w:b/>
    </w:rPr>
  </w:style>
  <w:style w:type="paragraph" w:customStyle="1" w:styleId="TableTotalCentre">
    <w:name w:val="~TableTotalCentre"/>
    <w:basedOn w:val="TableTotalLeft"/>
    <w:rsid w:val="0044047A"/>
    <w:pPr>
      <w:framePr w:wrap="around" w:vAnchor="page" w:hAnchor="margin" w:y="1135"/>
      <w:suppressOverlap/>
      <w:jc w:val="center"/>
    </w:pPr>
  </w:style>
  <w:style w:type="paragraph" w:customStyle="1" w:styleId="TableTotalRight">
    <w:name w:val="~TableTotalRight"/>
    <w:basedOn w:val="TableTotalLeft"/>
    <w:rsid w:val="0044047A"/>
    <w:pPr>
      <w:framePr w:wrap="around" w:vAnchor="page" w:hAnchor="margin" w:y="1135"/>
      <w:suppressOverlap/>
      <w:jc w:val="right"/>
    </w:pPr>
  </w:style>
  <w:style w:type="paragraph" w:styleId="Footer">
    <w:name w:val="footer"/>
    <w:aliases w:val="~Footer"/>
    <w:basedOn w:val="NoSpacing"/>
    <w:link w:val="FooterChar"/>
    <w:uiPriority w:val="99"/>
    <w:rsid w:val="007B5D98"/>
    <w:rPr>
      <w:color w:val="727272" w:themeColor="background2" w:themeShade="80"/>
      <w:sz w:val="14"/>
    </w:rPr>
  </w:style>
  <w:style w:type="character" w:customStyle="1" w:styleId="FooterChar">
    <w:name w:val="Footer Char"/>
    <w:aliases w:val="~Footer Char"/>
    <w:basedOn w:val="DefaultParagraphFont"/>
    <w:link w:val="Footer"/>
    <w:uiPriority w:val="99"/>
    <w:rsid w:val="007B5D98"/>
    <w:rPr>
      <w:color w:val="727272" w:themeColor="background2" w:themeShade="80"/>
      <w:sz w:val="14"/>
    </w:rPr>
  </w:style>
  <w:style w:type="character" w:styleId="FootnoteReference">
    <w:name w:val="footnote reference"/>
    <w:basedOn w:val="DefaultParagraphFont"/>
    <w:rsid w:val="008E65E7"/>
    <w:rPr>
      <w:rFonts w:asciiTheme="minorHAnsi" w:hAnsiTheme="minorHAnsi"/>
      <w:color w:val="005172" w:themeColor="accent2"/>
      <w:vertAlign w:val="superscript"/>
    </w:rPr>
  </w:style>
  <w:style w:type="paragraph" w:styleId="FootnoteText">
    <w:name w:val="footnote text"/>
    <w:aliases w:val="~FootnoteText"/>
    <w:basedOn w:val="NoSpacing"/>
    <w:link w:val="FootnoteTextChar"/>
    <w:rsid w:val="000D4D4E"/>
    <w:pPr>
      <w:spacing w:before="120" w:line="264" w:lineRule="auto"/>
      <w:ind w:left="284" w:hanging="284"/>
    </w:pPr>
    <w:rPr>
      <w:sz w:val="18"/>
    </w:rPr>
  </w:style>
  <w:style w:type="character" w:customStyle="1" w:styleId="FootnoteTextChar">
    <w:name w:val="Footnote Text Char"/>
    <w:aliases w:val="~FootnoteText Char"/>
    <w:basedOn w:val="DefaultParagraphFont"/>
    <w:link w:val="FootnoteText"/>
    <w:rsid w:val="000D4D4E"/>
    <w:rPr>
      <w:rFonts w:ascii="Arial" w:hAnsi="Arial"/>
      <w:sz w:val="18"/>
      <w:szCs w:val="20"/>
    </w:rPr>
  </w:style>
  <w:style w:type="paragraph" w:styleId="Header">
    <w:name w:val="header"/>
    <w:aliases w:val="~Header"/>
    <w:basedOn w:val="NoSpacing"/>
    <w:link w:val="HeaderChar"/>
    <w:uiPriority w:val="99"/>
    <w:rsid w:val="00470772"/>
    <w:rPr>
      <w:sz w:val="16"/>
    </w:rPr>
  </w:style>
  <w:style w:type="character" w:customStyle="1" w:styleId="HeaderChar">
    <w:name w:val="Header Char"/>
    <w:aliases w:val="~Header Char"/>
    <w:basedOn w:val="DefaultParagraphFont"/>
    <w:link w:val="Header"/>
    <w:uiPriority w:val="99"/>
    <w:rsid w:val="00470772"/>
    <w:rPr>
      <w:sz w:val="16"/>
    </w:rPr>
  </w:style>
  <w:style w:type="character" w:customStyle="1" w:styleId="Heading1Char">
    <w:name w:val="Heading 1 Char"/>
    <w:aliases w:val="~SectionHeading Char"/>
    <w:basedOn w:val="DefaultParagraphFont"/>
    <w:link w:val="Heading1"/>
    <w:uiPriority w:val="9"/>
    <w:rsid w:val="00606763"/>
    <w:rPr>
      <w:rFonts w:cs="Arial"/>
      <w:color w:val="005172"/>
      <w:sz w:val="40"/>
    </w:rPr>
  </w:style>
  <w:style w:type="character" w:customStyle="1" w:styleId="Heading2Char">
    <w:name w:val="Heading 2 Char"/>
    <w:aliases w:val="~SubHeading Char"/>
    <w:basedOn w:val="DefaultParagraphFont"/>
    <w:link w:val="Heading2"/>
    <w:uiPriority w:val="9"/>
    <w:rsid w:val="00606763"/>
    <w:rPr>
      <w:rFonts w:cs="Arial"/>
      <w:color w:val="5E9CAE"/>
      <w:sz w:val="32"/>
    </w:rPr>
  </w:style>
  <w:style w:type="character" w:customStyle="1" w:styleId="Heading3Char">
    <w:name w:val="Heading 3 Char"/>
    <w:aliases w:val="~MinorSubHeading Char"/>
    <w:basedOn w:val="DefaultParagraphFont"/>
    <w:link w:val="Heading3"/>
    <w:uiPriority w:val="9"/>
    <w:rsid w:val="00606763"/>
    <w:rPr>
      <w:rFonts w:cs="Arial"/>
      <w:color w:val="5E9CAE"/>
      <w:sz w:val="26"/>
    </w:rPr>
  </w:style>
  <w:style w:type="character" w:customStyle="1" w:styleId="Heading4Char">
    <w:name w:val="Heading 4 Char"/>
    <w:aliases w:val="~Level4Heading Char"/>
    <w:basedOn w:val="DefaultParagraphFont"/>
    <w:link w:val="Heading4"/>
    <w:uiPriority w:val="9"/>
    <w:semiHidden/>
    <w:rsid w:val="00761467"/>
    <w:rPr>
      <w:rFonts w:cs="Arial"/>
      <w:color w:val="005172"/>
      <w:sz w:val="24"/>
    </w:rPr>
  </w:style>
  <w:style w:type="paragraph" w:styleId="TOC1">
    <w:name w:val="toc 1"/>
    <w:aliases w:val="~SectionHeadings"/>
    <w:basedOn w:val="NoSpacing"/>
    <w:next w:val="Normal"/>
    <w:uiPriority w:val="39"/>
    <w:rsid w:val="008F7538"/>
    <w:pPr>
      <w:tabs>
        <w:tab w:val="left" w:pos="482"/>
        <w:tab w:val="right" w:leader="underscore" w:pos="9638"/>
      </w:tabs>
      <w:spacing w:before="120"/>
      <w:ind w:left="482" w:right="403" w:hanging="482"/>
    </w:pPr>
    <w:rPr>
      <w:rFonts w:asciiTheme="majorHAnsi" w:eastAsiaTheme="minorEastAsia" w:hAnsiTheme="majorHAnsi"/>
      <w:noProof/>
      <w:color w:val="5E9CAE" w:themeColor="accent1"/>
      <w:sz w:val="24"/>
      <w:lang w:eastAsia="en-GB"/>
    </w:rPr>
  </w:style>
  <w:style w:type="paragraph" w:styleId="TOC2">
    <w:name w:val="toc 2"/>
    <w:aliases w:val="~SubHeadings"/>
    <w:basedOn w:val="TOC1"/>
    <w:next w:val="Normal"/>
    <w:uiPriority w:val="39"/>
    <w:rsid w:val="00761467"/>
    <w:pPr>
      <w:tabs>
        <w:tab w:val="clear" w:pos="482"/>
        <w:tab w:val="left" w:pos="964"/>
        <w:tab w:val="right" w:leader="dot" w:pos="9638"/>
      </w:tabs>
      <w:spacing w:before="60"/>
      <w:ind w:left="964"/>
    </w:pPr>
    <w:rPr>
      <w:rFonts w:asciiTheme="minorHAnsi" w:hAnsiTheme="minorHAnsi"/>
      <w:color w:val="3C3C3B" w:themeColor="text1"/>
      <w:sz w:val="20"/>
    </w:rPr>
  </w:style>
  <w:style w:type="paragraph" w:styleId="TOC3">
    <w:name w:val="toc 3"/>
    <w:aliases w:val="~MinorSubheadings"/>
    <w:basedOn w:val="TOC2"/>
    <w:next w:val="Normal"/>
    <w:uiPriority w:val="39"/>
    <w:rsid w:val="00761467"/>
    <w:pPr>
      <w:tabs>
        <w:tab w:val="clear" w:pos="964"/>
        <w:tab w:val="left" w:pos="1701"/>
      </w:tabs>
      <w:ind w:left="1701" w:hanging="737"/>
    </w:pPr>
    <w:rPr>
      <w:szCs w:val="22"/>
    </w:rPr>
  </w:style>
  <w:style w:type="paragraph" w:styleId="TOC4">
    <w:name w:val="toc 4"/>
    <w:aliases w:val="~FourthHeadLevel"/>
    <w:basedOn w:val="TOC3"/>
    <w:next w:val="Normal"/>
    <w:uiPriority w:val="39"/>
    <w:rsid w:val="0044047A"/>
    <w:pPr>
      <w:tabs>
        <w:tab w:val="left" w:pos="2098"/>
      </w:tabs>
      <w:ind w:left="2098" w:hanging="794"/>
    </w:pPr>
  </w:style>
  <w:style w:type="paragraph" w:styleId="TOC5">
    <w:name w:val="toc 5"/>
    <w:aliases w:val="~ExecSumHeading"/>
    <w:basedOn w:val="TOC1"/>
    <w:next w:val="Normal"/>
    <w:uiPriority w:val="39"/>
    <w:rsid w:val="0044047A"/>
  </w:style>
  <w:style w:type="paragraph" w:styleId="TOC6">
    <w:name w:val="toc 6"/>
    <w:aliases w:val="~AppDivider"/>
    <w:basedOn w:val="TOC1"/>
    <w:next w:val="Normal"/>
    <w:autoRedefine/>
    <w:uiPriority w:val="39"/>
    <w:rsid w:val="0044047A"/>
    <w:pPr>
      <w:spacing w:before="240"/>
    </w:pPr>
  </w:style>
  <w:style w:type="paragraph" w:styleId="TOC7">
    <w:name w:val="toc 7"/>
    <w:aliases w:val="~AppHeadings"/>
    <w:basedOn w:val="TOC1"/>
    <w:next w:val="Normal"/>
    <w:uiPriority w:val="39"/>
    <w:rsid w:val="00892E0E"/>
    <w:pPr>
      <w:tabs>
        <w:tab w:val="clear" w:pos="482"/>
        <w:tab w:val="left" w:pos="425"/>
        <w:tab w:val="right" w:pos="9638"/>
      </w:tabs>
      <w:ind w:left="425" w:hanging="425"/>
    </w:pPr>
    <w:rPr>
      <w:rFonts w:asciiTheme="minorHAnsi" w:hAnsiTheme="minorHAnsi"/>
    </w:rPr>
  </w:style>
  <w:style w:type="paragraph" w:styleId="TOC8">
    <w:name w:val="toc 8"/>
    <w:aliases w:val="~AppSubHeadings"/>
    <w:basedOn w:val="TOC2"/>
    <w:next w:val="Normal"/>
    <w:uiPriority w:val="39"/>
    <w:rsid w:val="0044047A"/>
    <w:pPr>
      <w:tabs>
        <w:tab w:val="clear" w:pos="964"/>
        <w:tab w:val="left" w:pos="850"/>
        <w:tab w:val="right" w:pos="9638"/>
      </w:tabs>
      <w:ind w:left="850" w:hanging="425"/>
    </w:pPr>
  </w:style>
  <w:style w:type="character" w:customStyle="1" w:styleId="CaptionChar">
    <w:name w:val="Caption Char"/>
    <w:aliases w:val="~Caption Char"/>
    <w:basedOn w:val="DefaultParagraphFont"/>
    <w:link w:val="Caption"/>
    <w:rsid w:val="00F6743D"/>
    <w:rPr>
      <w:rFonts w:eastAsia="Calibri" w:cs="Arial"/>
      <w:color w:val="5E9CAE" w:themeColor="accent1"/>
    </w:rPr>
  </w:style>
  <w:style w:type="paragraph" w:styleId="ListParagraph">
    <w:name w:val="List Paragraph"/>
    <w:basedOn w:val="Normal"/>
    <w:uiPriority w:val="34"/>
    <w:qFormat/>
    <w:rsid w:val="00F25255"/>
    <w:pPr>
      <w:ind w:left="720"/>
      <w:contextualSpacing/>
    </w:pPr>
  </w:style>
  <w:style w:type="paragraph" w:styleId="BalloonText">
    <w:name w:val="Balloon Text"/>
    <w:basedOn w:val="Normal"/>
    <w:link w:val="BalloonTextChar"/>
    <w:uiPriority w:val="99"/>
    <w:semiHidden/>
    <w:unhideWhenUsed/>
    <w:rsid w:val="00B362B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2BA"/>
    <w:rPr>
      <w:rFonts w:ascii="Tahoma" w:hAnsi="Tahoma" w:cs="Tahoma"/>
      <w:sz w:val="16"/>
      <w:szCs w:val="16"/>
    </w:rPr>
  </w:style>
  <w:style w:type="paragraph" w:customStyle="1" w:styleId="KeyMsgBoxText">
    <w:name w:val="~KeyMsgBoxText"/>
    <w:basedOn w:val="Normal"/>
    <w:qFormat/>
    <w:rsid w:val="00160B28"/>
    <w:pPr>
      <w:spacing w:after="60"/>
    </w:pPr>
    <w:rPr>
      <w:color w:val="005172" w:themeColor="accent2"/>
    </w:rPr>
  </w:style>
  <w:style w:type="paragraph" w:customStyle="1" w:styleId="KeyMsgBoxHead">
    <w:name w:val="~KeyMsgBoxHead"/>
    <w:basedOn w:val="KeyMsgBoxText"/>
    <w:qFormat/>
    <w:rsid w:val="00160B28"/>
    <w:pPr>
      <w:keepNext/>
      <w:spacing w:line="240" w:lineRule="auto"/>
    </w:pPr>
    <w:rPr>
      <w:b/>
    </w:rPr>
  </w:style>
  <w:style w:type="paragraph" w:customStyle="1" w:styleId="Quote">
    <w:name w:val="~Quote"/>
    <w:basedOn w:val="Normal"/>
    <w:next w:val="Normal"/>
    <w:qFormat/>
    <w:rsid w:val="008E65E7"/>
    <w:pPr>
      <w:spacing w:before="240" w:line="276" w:lineRule="auto"/>
    </w:pPr>
    <w:rPr>
      <w:rFonts w:eastAsia="Arial" w:cs="Times New Roman"/>
      <w:color w:val="5E9CAE" w:themeColor="accent1"/>
    </w:rPr>
  </w:style>
  <w:style w:type="paragraph" w:styleId="TOCHeading">
    <w:name w:val="TOC Heading"/>
    <w:basedOn w:val="Normal"/>
    <w:next w:val="Normal"/>
    <w:uiPriority w:val="39"/>
    <w:rsid w:val="00892E0E"/>
    <w:pPr>
      <w:keepLines/>
      <w:spacing w:before="480" w:line="264" w:lineRule="auto"/>
      <w:jc w:val="both"/>
    </w:pPr>
    <w:rPr>
      <w:rFonts w:eastAsiaTheme="majorEastAsia" w:cstheme="majorBidi"/>
      <w:bCs/>
      <w:color w:val="auto"/>
      <w:sz w:val="28"/>
      <w:szCs w:val="28"/>
    </w:rPr>
  </w:style>
  <w:style w:type="character" w:customStyle="1" w:styleId="Heading5Char">
    <w:name w:val="Heading 5 Char"/>
    <w:basedOn w:val="DefaultParagraphFont"/>
    <w:link w:val="Heading5"/>
    <w:uiPriority w:val="9"/>
    <w:semiHidden/>
    <w:rsid w:val="00761467"/>
    <w:rPr>
      <w:rFonts w:asciiTheme="majorHAnsi" w:eastAsiaTheme="majorEastAsia" w:hAnsiTheme="majorHAnsi" w:cstheme="majorBidi"/>
      <w:color w:val="auto"/>
    </w:rPr>
  </w:style>
  <w:style w:type="character" w:customStyle="1" w:styleId="Heading6Char">
    <w:name w:val="Heading 6 Char"/>
    <w:basedOn w:val="DefaultParagraphFont"/>
    <w:link w:val="Heading6"/>
    <w:uiPriority w:val="9"/>
    <w:semiHidden/>
    <w:rsid w:val="00761467"/>
    <w:rPr>
      <w:rFonts w:asciiTheme="majorHAnsi" w:eastAsiaTheme="majorEastAsia" w:hAnsiTheme="majorHAnsi" w:cstheme="majorBidi"/>
      <w:i/>
      <w:iCs/>
      <w:color w:val="auto"/>
    </w:rPr>
  </w:style>
  <w:style w:type="character" w:styleId="Hyperlink">
    <w:name w:val="Hyperlink"/>
    <w:basedOn w:val="DefaultParagraphFont"/>
    <w:uiPriority w:val="99"/>
    <w:unhideWhenUsed/>
    <w:rsid w:val="00892E0E"/>
    <w:rPr>
      <w:color w:val="005172" w:themeColor="hyperlink"/>
      <w:u w:val="single"/>
    </w:rPr>
  </w:style>
  <w:style w:type="paragraph" w:customStyle="1" w:styleId="Hidden">
    <w:name w:val="~Hidden"/>
    <w:basedOn w:val="NoSpacing"/>
    <w:rsid w:val="00765247"/>
    <w:pPr>
      <w:framePr w:wrap="around" w:vAnchor="page" w:hAnchor="page" w:xAlign="right" w:yAlign="bottom"/>
    </w:pPr>
    <w:rPr>
      <w:color w:val="C00000"/>
    </w:rPr>
  </w:style>
  <w:style w:type="character" w:styleId="PlaceholderText">
    <w:name w:val="Placeholder Text"/>
    <w:basedOn w:val="DefaultParagraphFont"/>
    <w:uiPriority w:val="99"/>
    <w:semiHidden/>
    <w:rsid w:val="00135538"/>
    <w:rPr>
      <w:color w:val="808080"/>
    </w:rPr>
  </w:style>
  <w:style w:type="table" w:customStyle="1" w:styleId="TableClear">
    <w:name w:val="~TableClear"/>
    <w:basedOn w:val="TableNormal"/>
    <w:uiPriority w:val="99"/>
    <w:rsid w:val="00943F12"/>
    <w:pPr>
      <w:spacing w:after="0" w:line="240" w:lineRule="auto"/>
    </w:pPr>
    <w:tblPr/>
  </w:style>
  <w:style w:type="table" w:styleId="MediumShading2-Accent1">
    <w:name w:val="Medium Shading 2 Accent 1"/>
    <w:basedOn w:val="TableNormal"/>
    <w:uiPriority w:val="64"/>
    <w:rsid w:val="00B920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9C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9CAE" w:themeFill="accent1"/>
      </w:tcPr>
    </w:tblStylePr>
    <w:tblStylePr w:type="lastCol">
      <w:rPr>
        <w:b/>
        <w:bCs/>
        <w:color w:val="FFFFFF" w:themeColor="background1"/>
      </w:rPr>
      <w:tblPr/>
      <w:tcPr>
        <w:tcBorders>
          <w:left w:val="nil"/>
          <w:right w:val="nil"/>
          <w:insideH w:val="nil"/>
          <w:insideV w:val="nil"/>
        </w:tcBorders>
        <w:shd w:val="clear" w:color="auto" w:fill="5E9C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7Char">
    <w:name w:val="Heading 7 Char"/>
    <w:basedOn w:val="DefaultParagraphFont"/>
    <w:link w:val="Heading7"/>
    <w:uiPriority w:val="9"/>
    <w:semiHidden/>
    <w:rsid w:val="00761467"/>
    <w:rPr>
      <w:rFonts w:asciiTheme="majorHAnsi" w:eastAsiaTheme="majorEastAsia" w:hAnsiTheme="majorHAnsi" w:cstheme="majorBidi"/>
      <w:i/>
      <w:iCs/>
      <w:color w:val="6D6D6B" w:themeColor="text1" w:themeTint="BF"/>
    </w:rPr>
  </w:style>
  <w:style w:type="character" w:customStyle="1" w:styleId="Heading8Char">
    <w:name w:val="Heading 8 Char"/>
    <w:basedOn w:val="DefaultParagraphFont"/>
    <w:link w:val="Heading8"/>
    <w:uiPriority w:val="9"/>
    <w:semiHidden/>
    <w:rsid w:val="00761467"/>
    <w:rPr>
      <w:rFonts w:asciiTheme="majorHAnsi" w:eastAsiaTheme="majorEastAsia" w:hAnsiTheme="majorHAnsi" w:cstheme="majorBidi"/>
      <w:color w:val="6D6D6B" w:themeColor="text1" w:themeTint="BF"/>
    </w:rPr>
  </w:style>
  <w:style w:type="character" w:customStyle="1" w:styleId="Heading9Char">
    <w:name w:val="Heading 9 Char"/>
    <w:basedOn w:val="DefaultParagraphFont"/>
    <w:link w:val="Heading9"/>
    <w:uiPriority w:val="9"/>
    <w:semiHidden/>
    <w:rsid w:val="00761467"/>
    <w:rPr>
      <w:rFonts w:asciiTheme="majorHAnsi" w:eastAsiaTheme="majorEastAsia" w:hAnsiTheme="majorHAnsi" w:cstheme="majorBidi"/>
      <w:i/>
      <w:iCs/>
      <w:color w:val="6D6D6B" w:themeColor="text1" w:themeTint="BF"/>
    </w:rPr>
  </w:style>
  <w:style w:type="paragraph" w:customStyle="1" w:styleId="LastPage">
    <w:name w:val="~LastPage"/>
    <w:basedOn w:val="NoSpacing"/>
    <w:rsid w:val="00A420A7"/>
    <w:rPr>
      <w:noProof/>
      <w:color w:val="FFFFFF" w:themeColor="background1"/>
      <w:sz w:val="16"/>
      <w:lang w:eastAsia="en-GB"/>
    </w:rPr>
  </w:style>
  <w:style w:type="paragraph" w:customStyle="1" w:styleId="TableBullet2">
    <w:name w:val="~TableBullet2"/>
    <w:basedOn w:val="TableTextLeft"/>
    <w:rsid w:val="003B7AD8"/>
    <w:pPr>
      <w:tabs>
        <w:tab w:val="num" w:pos="340"/>
      </w:tabs>
      <w:spacing w:before="60" w:line="240" w:lineRule="auto"/>
      <w:ind w:left="340" w:hanging="170"/>
    </w:pPr>
    <w:rPr>
      <w:rFonts w:asciiTheme="minorHAnsi" w:hAnsiTheme="minorHAnsi"/>
      <w:color w:val="auto"/>
      <w:sz w:val="17"/>
    </w:rPr>
  </w:style>
  <w:style w:type="paragraph" w:customStyle="1" w:styleId="TableBullet3">
    <w:name w:val="~TableBullet3"/>
    <w:basedOn w:val="TableTextLeft"/>
    <w:rsid w:val="003B7AD8"/>
    <w:pPr>
      <w:tabs>
        <w:tab w:val="num" w:pos="510"/>
      </w:tabs>
      <w:spacing w:before="60" w:line="240" w:lineRule="auto"/>
      <w:ind w:left="510" w:hanging="170"/>
    </w:pPr>
    <w:rPr>
      <w:rFonts w:asciiTheme="minorHAnsi" w:hAnsiTheme="minorHAnsi"/>
      <w:color w:val="auto"/>
      <w:sz w:val="17"/>
    </w:rPr>
  </w:style>
  <w:style w:type="table" w:customStyle="1" w:styleId="TableHRWallingford">
    <w:name w:val="~TableHRWallingford"/>
    <w:basedOn w:val="TableNormal"/>
    <w:uiPriority w:val="99"/>
    <w:rsid w:val="00AA70A1"/>
    <w:pPr>
      <w:spacing w:after="0" w:line="240" w:lineRule="auto"/>
    </w:pPr>
    <w:rPr>
      <w:rFonts w:asciiTheme="minorHAnsi" w:hAnsiTheme="minorHAnsi"/>
    </w:rPr>
    <w:tblPr>
      <w:tblStyleRowBandSize w:val="1"/>
      <w:tblBorders>
        <w:top w:val="single" w:sz="4" w:space="0" w:color="5E9CAE" w:themeColor="accent1"/>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tblPr>
    <w:tcPr>
      <w:shd w:val="clear" w:color="auto" w:fill="FFFFFF" w:themeFill="background1"/>
    </w:tcPr>
    <w:tblStylePr w:type="firstRow">
      <w:tblPr/>
      <w:trPr>
        <w:cantSplit/>
        <w:tblHeader/>
      </w:trPr>
      <w:tcPr>
        <w:tcBorders>
          <w:top w:val="single" w:sz="4" w:space="0" w:color="5E9CAE" w:themeColor="accent1"/>
          <w:left w:val="single" w:sz="4" w:space="0" w:color="5E9CAE" w:themeColor="accent1"/>
          <w:bottom w:val="single" w:sz="4" w:space="0" w:color="5E9CAE" w:themeColor="accent1"/>
          <w:right w:val="single" w:sz="4" w:space="0" w:color="5E9CAE" w:themeColor="accent1"/>
          <w:insideH w:val="nil"/>
          <w:insideV w:val="single" w:sz="4" w:space="0" w:color="FFFFFF" w:themeColor="background1"/>
          <w:tl2br w:val="nil"/>
          <w:tr2bl w:val="nil"/>
        </w:tcBorders>
        <w:shd w:val="clear" w:color="auto" w:fill="5E9CAE" w:themeFill="accent1"/>
      </w:tcPr>
    </w:tblStylePr>
    <w:tblStylePr w:type="firstCol">
      <w:rPr>
        <w:color w:val="5E9CAE" w:themeColor="accent1"/>
      </w:rPr>
    </w:tblStylePr>
    <w:tblStylePr w:type="band1Horz">
      <w:tblPr/>
      <w:tcPr>
        <w:shd w:val="clear" w:color="auto" w:fill="FFFFFF" w:themeFill="background1"/>
      </w:tcPr>
    </w:tblStylePr>
    <w:tblStylePr w:type="band2Horz">
      <w:tblPr/>
      <w:tcPr>
        <w:tcBorders>
          <w:left w:val="single" w:sz="4" w:space="0" w:color="E4E4E4" w:themeColor="background2"/>
          <w:right w:val="single" w:sz="4" w:space="0" w:color="E4E4E4" w:themeColor="background2"/>
          <w:insideH w:val="nil"/>
          <w:insideV w:val="single" w:sz="4" w:space="0" w:color="E4E4E4" w:themeColor="background2"/>
          <w:tl2br w:val="nil"/>
          <w:tr2bl w:val="nil"/>
        </w:tcBorders>
        <w:shd w:val="clear" w:color="auto" w:fill="E4E4E4" w:themeFill="background2"/>
      </w:tcPr>
    </w:tblStylePr>
  </w:style>
  <w:style w:type="paragraph" w:customStyle="1" w:styleId="DocInfoHead">
    <w:name w:val="~DocInfoHead"/>
    <w:basedOn w:val="SecHeadNonToc"/>
    <w:qFormat/>
    <w:rsid w:val="00BE2DFE"/>
  </w:style>
  <w:style w:type="paragraph" w:customStyle="1" w:styleId="DocInfoSubHead">
    <w:name w:val="~DocInfoSubHead"/>
    <w:basedOn w:val="DocInfoHead"/>
    <w:qFormat/>
    <w:rsid w:val="00BD60F3"/>
    <w:pPr>
      <w:spacing w:before="120" w:after="0" w:line="264" w:lineRule="auto"/>
    </w:pPr>
    <w:rPr>
      <w:sz w:val="20"/>
    </w:rPr>
  </w:style>
  <w:style w:type="paragraph" w:customStyle="1" w:styleId="DocProjNumber">
    <w:name w:val="~DocProjNumber"/>
    <w:basedOn w:val="Normal"/>
    <w:semiHidden/>
    <w:rsid w:val="00A93887"/>
  </w:style>
  <w:style w:type="paragraph" w:customStyle="1" w:styleId="DocProjectName">
    <w:name w:val="~DocProjectName"/>
    <w:basedOn w:val="Normal"/>
    <w:semiHidden/>
    <w:rsid w:val="003E0B50"/>
  </w:style>
  <w:style w:type="paragraph" w:customStyle="1" w:styleId="DocClientRep">
    <w:name w:val="~DocClientRep"/>
    <w:basedOn w:val="Normal"/>
    <w:semiHidden/>
    <w:rsid w:val="004E31BF"/>
  </w:style>
  <w:style w:type="paragraph" w:customStyle="1" w:styleId="DocRelease">
    <w:name w:val="~DocRelease"/>
    <w:basedOn w:val="Normal"/>
    <w:semiHidden/>
    <w:rsid w:val="000B493D"/>
  </w:style>
  <w:style w:type="paragraph" w:customStyle="1" w:styleId="GraphicsLeft">
    <w:name w:val="~GraphicsLeft"/>
    <w:basedOn w:val="NoSpacing"/>
    <w:rsid w:val="00810771"/>
    <w:rPr>
      <w:rFonts w:asciiTheme="minorHAnsi" w:hAnsiTheme="minorHAnsi"/>
      <w:color w:val="auto"/>
      <w:szCs w:val="22"/>
    </w:rPr>
  </w:style>
  <w:style w:type="paragraph" w:customStyle="1" w:styleId="DocProjManager">
    <w:name w:val="~DocProjManager"/>
    <w:basedOn w:val="Normal"/>
    <w:semiHidden/>
    <w:rsid w:val="004E31BF"/>
  </w:style>
  <w:style w:type="paragraph" w:styleId="TableofFigures">
    <w:name w:val="table of figures"/>
    <w:basedOn w:val="TOC2"/>
    <w:next w:val="Normal"/>
    <w:uiPriority w:val="99"/>
    <w:unhideWhenUsed/>
    <w:rsid w:val="00F9532E"/>
    <w:pPr>
      <w:tabs>
        <w:tab w:val="left" w:pos="1417"/>
      </w:tabs>
      <w:ind w:left="1417" w:hanging="992"/>
    </w:pPr>
  </w:style>
  <w:style w:type="paragraph" w:customStyle="1" w:styleId="DocProjDirector">
    <w:name w:val="~DocProjDirector"/>
    <w:basedOn w:val="Normal"/>
    <w:semiHidden/>
    <w:rsid w:val="007A1087"/>
  </w:style>
  <w:style w:type="paragraph" w:customStyle="1" w:styleId="DocReleaseLatest">
    <w:name w:val="~DocReleaseLatest"/>
    <w:basedOn w:val="Normal"/>
    <w:semiHidden/>
    <w:rsid w:val="00654DE2"/>
  </w:style>
  <w:style w:type="paragraph" w:customStyle="1" w:styleId="DocTitleFooterRef">
    <w:name w:val="~DocTitleFooterRef"/>
    <w:basedOn w:val="DocNumber"/>
    <w:rsid w:val="002D7B30"/>
    <w:pPr>
      <w:spacing w:before="0"/>
    </w:pPr>
    <w:rPr>
      <w:bCs/>
      <w:noProof/>
      <w:color w:val="FFFFFF" w:themeColor="background1"/>
      <w:sz w:val="32"/>
      <w:lang w:val="en-US"/>
    </w:rPr>
  </w:style>
  <w:style w:type="paragraph" w:customStyle="1" w:styleId="Disclaimer">
    <w:name w:val="~Disclaimer"/>
    <w:basedOn w:val="Normal"/>
    <w:semiHidden/>
    <w:rsid w:val="00AB0900"/>
    <w:rPr>
      <w:sz w:val="14"/>
    </w:rPr>
  </w:style>
  <w:style w:type="paragraph" w:customStyle="1" w:styleId="Unsigned">
    <w:name w:val="~Unsigned"/>
    <w:basedOn w:val="Normal"/>
    <w:rsid w:val="00C57EB4"/>
    <w:pPr>
      <w:framePr w:wrap="around" w:hAnchor="page" w:x="1135" w:yAlign="bottom"/>
      <w:suppressOverlap/>
    </w:pPr>
    <w:rPr>
      <w:color w:val="005172" w:themeColor="accent2"/>
      <w:sz w:val="22"/>
    </w:rPr>
  </w:style>
  <w:style w:type="paragraph" w:customStyle="1" w:styleId="DocClientRef">
    <w:name w:val="~DocClientRef"/>
    <w:basedOn w:val="NoSpacing"/>
    <w:semiHidden/>
    <w:rsid w:val="00896E26"/>
    <w:pPr>
      <w:framePr w:hSpace="181" w:wrap="around" w:vAnchor="text" w:hAnchor="margin" w:y="1"/>
      <w:suppressOverlap/>
    </w:pPr>
    <w:rPr>
      <w:sz w:val="32"/>
    </w:rPr>
  </w:style>
  <w:style w:type="paragraph" w:customStyle="1" w:styleId="DocDate">
    <w:name w:val="~DocDate"/>
    <w:basedOn w:val="DocClientRef"/>
    <w:next w:val="Normal"/>
    <w:rsid w:val="00662260"/>
    <w:pPr>
      <w:framePr w:hSpace="0" w:wrap="auto" w:vAnchor="margin" w:hAnchor="text" w:yAlign="inline"/>
      <w:spacing w:after="360"/>
      <w:suppressOverlap w:val="0"/>
    </w:pPr>
    <w:rPr>
      <w:sz w:val="24"/>
    </w:rPr>
  </w:style>
  <w:style w:type="paragraph" w:customStyle="1" w:styleId="CodeBlack">
    <w:name w:val="~CodeBlack"/>
    <w:basedOn w:val="Normal"/>
    <w:qFormat/>
    <w:rsid w:val="00254692"/>
    <w:pPr>
      <w:spacing w:before="0"/>
    </w:pPr>
    <w:rPr>
      <w:rFonts w:ascii="Courier New" w:hAnsi="Courier New" w:cs="Courier New"/>
    </w:rPr>
  </w:style>
  <w:style w:type="paragraph" w:customStyle="1" w:styleId="CodeBlue">
    <w:name w:val="~CodeBlue"/>
    <w:basedOn w:val="CodeBlack"/>
    <w:qFormat/>
    <w:rsid w:val="00254692"/>
    <w:rPr>
      <w:color w:val="0070C0"/>
    </w:rPr>
  </w:style>
  <w:style w:type="paragraph" w:customStyle="1" w:styleId="CodeGreen">
    <w:name w:val="~CodeGreen"/>
    <w:basedOn w:val="CodeBlack"/>
    <w:qFormat/>
    <w:rsid w:val="00254692"/>
    <w:rPr>
      <w:color w:val="00B050"/>
    </w:rPr>
  </w:style>
  <w:style w:type="paragraph" w:customStyle="1" w:styleId="CodeRed">
    <w:name w:val="~CodeRed"/>
    <w:basedOn w:val="CodeBlack"/>
    <w:qFormat/>
    <w:rsid w:val="00254692"/>
    <w:rPr>
      <w:color w:val="FF0000"/>
    </w:rPr>
  </w:style>
  <w:style w:type="character" w:styleId="CommentReference">
    <w:name w:val="annotation reference"/>
    <w:basedOn w:val="DefaultParagraphFont"/>
    <w:uiPriority w:val="99"/>
    <w:semiHidden/>
    <w:unhideWhenUsed/>
    <w:rsid w:val="009136E3"/>
    <w:rPr>
      <w:sz w:val="16"/>
      <w:szCs w:val="16"/>
    </w:rPr>
  </w:style>
  <w:style w:type="paragraph" w:styleId="CommentText">
    <w:name w:val="annotation text"/>
    <w:basedOn w:val="Normal"/>
    <w:link w:val="CommentTextChar"/>
    <w:uiPriority w:val="99"/>
    <w:semiHidden/>
    <w:unhideWhenUsed/>
    <w:rsid w:val="009136E3"/>
    <w:pPr>
      <w:spacing w:line="240" w:lineRule="auto"/>
    </w:pPr>
  </w:style>
  <w:style w:type="character" w:customStyle="1" w:styleId="CommentTextChar">
    <w:name w:val="Comment Text Char"/>
    <w:basedOn w:val="DefaultParagraphFont"/>
    <w:link w:val="CommentText"/>
    <w:uiPriority w:val="99"/>
    <w:semiHidden/>
    <w:rsid w:val="009136E3"/>
  </w:style>
  <w:style w:type="paragraph" w:styleId="CommentSubject">
    <w:name w:val="annotation subject"/>
    <w:basedOn w:val="CommentText"/>
    <w:next w:val="CommentText"/>
    <w:link w:val="CommentSubjectChar"/>
    <w:uiPriority w:val="99"/>
    <w:semiHidden/>
    <w:unhideWhenUsed/>
    <w:rsid w:val="009136E3"/>
    <w:rPr>
      <w:b/>
      <w:bCs/>
    </w:rPr>
  </w:style>
  <w:style w:type="character" w:customStyle="1" w:styleId="CommentSubjectChar">
    <w:name w:val="Comment Subject Char"/>
    <w:basedOn w:val="CommentTextChar"/>
    <w:link w:val="CommentSubject"/>
    <w:uiPriority w:val="99"/>
    <w:semiHidden/>
    <w:rsid w:val="009136E3"/>
    <w:rPr>
      <w:b/>
      <w:bCs/>
    </w:rPr>
  </w:style>
  <w:style w:type="paragraph" w:styleId="Revision">
    <w:name w:val="Revision"/>
    <w:hidden/>
    <w:uiPriority w:val="99"/>
    <w:semiHidden/>
    <w:rsid w:val="00D55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ceanservice.noaa.gov/facts/light_travel.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outhampton.ac.uk/assets/imported/transforms/content-block/UsefulDownloads_Download/7C8750BCBBB64FBAAF2A13C4B8A7D1FD/LRET%20Collegium%202012%20Volume%201.pdf"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AppData\Roaming\Microsoft\Templates\Gener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34BCD9C3BB469986FA7B3678008724"/>
        <w:category>
          <w:name w:val="General"/>
          <w:gallery w:val="placeholder"/>
        </w:category>
        <w:types>
          <w:type w:val="bbPlcHdr"/>
        </w:types>
        <w:behaviors>
          <w:behavior w:val="content"/>
        </w:behaviors>
        <w:guid w:val="{30F0EC61-31C6-479A-B7D2-36642365D174}"/>
      </w:docPartPr>
      <w:docPartBody>
        <w:p w:rsidR="00D51589" w:rsidRDefault="00D27A03" w:rsidP="00D27A03">
          <w:pPr>
            <w:pStyle w:val="2F34BCD9C3BB469986FA7B3678008724"/>
          </w:pPr>
          <w:r w:rsidRPr="00C2338E">
            <w:t>&lt;Insert Source</w:t>
          </w:r>
          <w:r>
            <w:t xml:space="preserve"> or notes</w:t>
          </w:r>
          <w:r w:rsidRPr="00C2338E">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03"/>
    <w:rsid w:val="00933220"/>
    <w:rsid w:val="00D27A03"/>
    <w:rsid w:val="00D51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141DAAD36541D68E391C8A667B2FC0">
    <w:name w:val="1B141DAAD36541D68E391C8A667B2FC0"/>
  </w:style>
  <w:style w:type="paragraph" w:customStyle="1" w:styleId="FAB161DCF17243F2B09B9A628C127AD0">
    <w:name w:val="FAB161DCF17243F2B09B9A628C127AD0"/>
  </w:style>
  <w:style w:type="paragraph" w:customStyle="1" w:styleId="51A5D8CBD8A14752A0483AA64974EC86">
    <w:name w:val="51A5D8CBD8A14752A0483AA64974EC86"/>
  </w:style>
  <w:style w:type="paragraph" w:customStyle="1" w:styleId="9CE16E50D20647B48571E633AAD71A3A">
    <w:name w:val="9CE16E50D20647B48571E633AAD71A3A"/>
  </w:style>
  <w:style w:type="paragraph" w:customStyle="1" w:styleId="068FF435D6D74949B5FE238548178F88">
    <w:name w:val="068FF435D6D74949B5FE238548178F88"/>
  </w:style>
  <w:style w:type="paragraph" w:customStyle="1" w:styleId="94106E73CF2A4E61BA239A26D1D0D57A">
    <w:name w:val="94106E73CF2A4E61BA239A26D1D0D57A"/>
  </w:style>
  <w:style w:type="paragraph" w:customStyle="1" w:styleId="F468A88BD4434061BBBA31407A689633">
    <w:name w:val="F468A88BD4434061BBBA31407A689633"/>
  </w:style>
  <w:style w:type="paragraph" w:customStyle="1" w:styleId="0DDDA4EC5BF34C1EB96AEC3A032B0EDD">
    <w:name w:val="0DDDA4EC5BF34C1EB96AEC3A032B0EDD"/>
  </w:style>
  <w:style w:type="paragraph" w:customStyle="1" w:styleId="FA925361754949F19646B1E5216835A9">
    <w:name w:val="FA925361754949F19646B1E5216835A9"/>
  </w:style>
  <w:style w:type="paragraph" w:customStyle="1" w:styleId="902E3686A6DC462198ACF5A8C26DE1A7">
    <w:name w:val="902E3686A6DC462198ACF5A8C26DE1A7"/>
    <w:rsid w:val="00D27A03"/>
  </w:style>
  <w:style w:type="paragraph" w:customStyle="1" w:styleId="2F34BCD9C3BB469986FA7B3678008724">
    <w:name w:val="2F34BCD9C3BB469986FA7B3678008724"/>
    <w:rsid w:val="00D27A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141DAAD36541D68E391C8A667B2FC0">
    <w:name w:val="1B141DAAD36541D68E391C8A667B2FC0"/>
  </w:style>
  <w:style w:type="paragraph" w:customStyle="1" w:styleId="FAB161DCF17243F2B09B9A628C127AD0">
    <w:name w:val="FAB161DCF17243F2B09B9A628C127AD0"/>
  </w:style>
  <w:style w:type="paragraph" w:customStyle="1" w:styleId="51A5D8CBD8A14752A0483AA64974EC86">
    <w:name w:val="51A5D8CBD8A14752A0483AA64974EC86"/>
  </w:style>
  <w:style w:type="paragraph" w:customStyle="1" w:styleId="9CE16E50D20647B48571E633AAD71A3A">
    <w:name w:val="9CE16E50D20647B48571E633AAD71A3A"/>
  </w:style>
  <w:style w:type="paragraph" w:customStyle="1" w:styleId="068FF435D6D74949B5FE238548178F88">
    <w:name w:val="068FF435D6D74949B5FE238548178F88"/>
  </w:style>
  <w:style w:type="paragraph" w:customStyle="1" w:styleId="94106E73CF2A4E61BA239A26D1D0D57A">
    <w:name w:val="94106E73CF2A4E61BA239A26D1D0D57A"/>
  </w:style>
  <w:style w:type="paragraph" w:customStyle="1" w:styleId="F468A88BD4434061BBBA31407A689633">
    <w:name w:val="F468A88BD4434061BBBA31407A689633"/>
  </w:style>
  <w:style w:type="paragraph" w:customStyle="1" w:styleId="0DDDA4EC5BF34C1EB96AEC3A032B0EDD">
    <w:name w:val="0DDDA4EC5BF34C1EB96AEC3A032B0EDD"/>
  </w:style>
  <w:style w:type="paragraph" w:customStyle="1" w:styleId="FA925361754949F19646B1E5216835A9">
    <w:name w:val="FA925361754949F19646B1E5216835A9"/>
  </w:style>
  <w:style w:type="paragraph" w:customStyle="1" w:styleId="902E3686A6DC462198ACF5A8C26DE1A7">
    <w:name w:val="902E3686A6DC462198ACF5A8C26DE1A7"/>
    <w:rsid w:val="00D27A03"/>
  </w:style>
  <w:style w:type="paragraph" w:customStyle="1" w:styleId="2F34BCD9C3BB469986FA7B3678008724">
    <w:name w:val="2F34BCD9C3BB469986FA7B3678008724"/>
    <w:rsid w:val="00D27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HR Walling Colours">
      <a:dk1>
        <a:srgbClr val="3C3C3B"/>
      </a:dk1>
      <a:lt1>
        <a:sysClr val="window" lastClr="FFFFFF"/>
      </a:lt1>
      <a:dk2>
        <a:srgbClr val="9D9D9C"/>
      </a:dk2>
      <a:lt2>
        <a:srgbClr val="E4E4E4"/>
      </a:lt2>
      <a:accent1>
        <a:srgbClr val="5E9CAE"/>
      </a:accent1>
      <a:accent2>
        <a:srgbClr val="005172"/>
      </a:accent2>
      <a:accent3>
        <a:srgbClr val="156570"/>
      </a:accent3>
      <a:accent4>
        <a:srgbClr val="879637"/>
      </a:accent4>
      <a:accent5>
        <a:srgbClr val="D47620"/>
      </a:accent5>
      <a:accent6>
        <a:srgbClr val="983222"/>
      </a:accent6>
      <a:hlink>
        <a:srgbClr val="005172"/>
      </a:hlink>
      <a:folHlink>
        <a:srgbClr val="983222"/>
      </a:folHlink>
    </a:clrScheme>
    <a:fontScheme name="HR Wallingf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4567-E7A6-4804-8519-04C179E2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Generic.dotm</Template>
  <TotalTime>179</TotalTime>
  <Pages>10</Pages>
  <Words>6075</Words>
  <Characters>34630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HR Wallingford</Company>
  <LinksUpToDate>false</LinksUpToDate>
  <CharactersWithSpaces>40624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Sutherland</dc:creator>
  <cp:lastModifiedBy>David Sutherland</cp:lastModifiedBy>
  <cp:revision>5</cp:revision>
  <cp:lastPrinted>2012-07-05T15:17:00Z</cp:lastPrinted>
  <dcterms:created xsi:type="dcterms:W3CDTF">2017-05-23T07:32:00Z</dcterms:created>
  <dcterms:modified xsi:type="dcterms:W3CDTF">2017-06-16T13:21:00Z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1.03</vt:lpwstr>
  </property>
  <property fmtid="{D5CDD505-2E9C-101B-9397-08002B2CF9AE}" pid="3" name="Date">
    <vt:lpwstr>6 September 2013</vt:lpwstr>
  </property>
</Properties>
</file>